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3F140269" w:rsidR="007A5B38" w:rsidRPr="00F9594F" w:rsidRDefault="007A5B38" w:rsidP="007A5B38">
      <w:pPr>
        <w:pStyle w:val="3GPPHeader"/>
        <w:rPr>
          <w:highlight w:val="yellow"/>
        </w:rPr>
      </w:pPr>
      <w:bookmarkStart w:id="0" w:name="_Hlk489988649"/>
      <w:bookmarkEnd w:id="0"/>
      <w:r w:rsidRPr="00F9594F">
        <w:t xml:space="preserve">3GPP TSG-RAN WG1 </w:t>
      </w:r>
      <w:r w:rsidR="00CD0D9B" w:rsidRPr="00F9594F">
        <w:t>#90bis</w:t>
      </w:r>
      <w:r w:rsidRPr="00F9594F">
        <w:tab/>
      </w:r>
      <w:r w:rsidR="00F9594F" w:rsidRPr="00F9594F">
        <w:t>R1-1718746</w:t>
      </w:r>
    </w:p>
    <w:p w14:paraId="161050DA" w14:textId="08A316A3" w:rsidR="007A5B38" w:rsidRPr="00573B31" w:rsidRDefault="00CD0D9B" w:rsidP="007A5B38">
      <w:pPr>
        <w:pStyle w:val="3GPPHeader"/>
      </w:pPr>
      <w:r w:rsidRPr="00573B31">
        <w:t>Prague, Czech Republic</w:t>
      </w:r>
      <w:r w:rsidR="007A5B38" w:rsidRPr="00573B31">
        <w:t xml:space="preserve">, </w:t>
      </w:r>
      <w:r w:rsidRPr="00573B31">
        <w:t>9th – 13th October</w:t>
      </w:r>
      <w:r w:rsidR="007A5B38" w:rsidRPr="00573B31">
        <w:t>,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3A06C445" w:rsidR="00E90E49" w:rsidRPr="00327997" w:rsidRDefault="003D3C45" w:rsidP="00327997">
      <w:pPr>
        <w:pStyle w:val="3GPPHeader"/>
      </w:pPr>
      <w:r w:rsidRPr="00327997">
        <w:t>Title:</w:t>
      </w:r>
      <w:r w:rsidR="00E90E49" w:rsidRPr="00327997">
        <w:tab/>
      </w:r>
      <w:r w:rsidR="00E9447C" w:rsidRPr="00E9447C">
        <w:t>On common beam for PDSCH and PDCCH</w:t>
      </w:r>
    </w:p>
    <w:p w14:paraId="2D554DE3" w14:textId="493FBF75" w:rsidR="00952A24" w:rsidRPr="00327997" w:rsidRDefault="00952A24" w:rsidP="00327997">
      <w:pPr>
        <w:pStyle w:val="3GPPHeader"/>
      </w:pPr>
      <w:r w:rsidRPr="00327997">
        <w:t>Agenda Item:</w:t>
      </w:r>
      <w:r w:rsidRPr="00327997">
        <w:tab/>
      </w:r>
      <w:r w:rsidR="00CD0D9B" w:rsidRPr="00F9594F">
        <w:t>7.2</w:t>
      </w:r>
      <w:r w:rsidR="007A5B38" w:rsidRPr="00F9594F">
        <w:t>.</w:t>
      </w:r>
      <w:r w:rsidR="00E9447C" w:rsidRPr="00F9594F">
        <w:t>2.6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3142E9BB" w:rsidR="00BF7642" w:rsidRPr="00E9149C" w:rsidRDefault="00E9447C" w:rsidP="00BF7642">
      <w:pPr>
        <w:pStyle w:val="BodyText"/>
      </w:pPr>
      <w:r>
        <w:t>RAN1 has made the following agreements on beam management</w:t>
      </w:r>
      <w:r w:rsidR="00BF7642">
        <w:t>:</w:t>
      </w:r>
    </w:p>
    <w:p w14:paraId="4C3FF875" w14:textId="77777777" w:rsidR="00BF7642" w:rsidRDefault="00BF7642" w:rsidP="002611E7">
      <w:pPr>
        <w:pStyle w:val="BodyText"/>
      </w:pPr>
      <w:r>
        <w:rPr>
          <w:noProof/>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AB2948C" w14:textId="5BE0CDFB" w:rsidR="00D53140" w:rsidRPr="00037FA1" w:rsidRDefault="00F75DF1" w:rsidP="00D53140">
                            <w:pPr>
                              <w:snapToGrid w:val="0"/>
                              <w:rPr>
                                <w:rFonts w:eastAsia="MS Mincho"/>
                                <w:lang w:eastAsia="ja-JP"/>
                              </w:rPr>
                            </w:pPr>
                            <w:r w:rsidRPr="00C855FD">
                              <w:rPr>
                                <w:rFonts w:eastAsia="MS Mincho"/>
                                <w:b/>
                                <w:highlight w:val="green"/>
                                <w:lang w:eastAsia="ja-JP"/>
                              </w:rPr>
                              <w:t>Agre</w:t>
                            </w:r>
                            <w:r>
                              <w:rPr>
                                <w:rFonts w:eastAsia="MS Mincho"/>
                                <w:b/>
                                <w:highlight w:val="green"/>
                                <w:lang w:eastAsia="ja-JP"/>
                              </w:rPr>
                              <w:t>ement #</w:t>
                            </w:r>
                            <w:r w:rsidR="00D53140">
                              <w:rPr>
                                <w:rFonts w:eastAsia="MS Mincho"/>
                                <w:b/>
                                <w:highlight w:val="green"/>
                                <w:lang w:eastAsia="ja-JP"/>
                              </w:rPr>
                              <w:t>1 (RAN1#86b)</w:t>
                            </w:r>
                            <w:r w:rsidR="00D53140" w:rsidRPr="003D4847">
                              <w:rPr>
                                <w:rFonts w:eastAsia="MS Mincho"/>
                                <w:highlight w:val="green"/>
                                <w:lang w:eastAsia="ja-JP"/>
                              </w:rPr>
                              <w:t>:</w:t>
                            </w:r>
                            <w:r w:rsidR="00D53140" w:rsidRPr="00037FA1">
                              <w:rPr>
                                <w:rFonts w:eastAsia="MS Mincho"/>
                                <w:highlight w:val="green"/>
                                <w:lang w:eastAsia="ja-JP"/>
                              </w:rPr>
                              <w:t>:</w:t>
                            </w:r>
                          </w:p>
                          <w:p w14:paraId="2FF9CB34" w14:textId="77777777" w:rsidR="00D53140" w:rsidRPr="00037FA1" w:rsidRDefault="00D53140" w:rsidP="00D53140">
                            <w:pPr>
                              <w:numPr>
                                <w:ilvl w:val="0"/>
                                <w:numId w:val="19"/>
                              </w:numPr>
                              <w:snapToGrid w:val="0"/>
                              <w:rPr>
                                <w:rFonts w:eastAsia="MS Mincho"/>
                                <w:lang w:eastAsia="ja-JP"/>
                              </w:rPr>
                            </w:pPr>
                            <w:r w:rsidRPr="00037FA1">
                              <w:rPr>
                                <w:rFonts w:eastAsia="MS Mincho"/>
                                <w:lang w:eastAsia="ja-JP"/>
                              </w:rPr>
                              <w:t>For downlink, NR supports beam management with and without beam-related indication</w:t>
                            </w:r>
                          </w:p>
                          <w:p w14:paraId="1CF5459C" w14:textId="77777777" w:rsidR="00D53140" w:rsidRPr="00037FA1" w:rsidRDefault="00D53140" w:rsidP="00D53140">
                            <w:pPr>
                              <w:numPr>
                                <w:ilvl w:val="1"/>
                                <w:numId w:val="19"/>
                              </w:numPr>
                              <w:snapToGrid w:val="0"/>
                              <w:rPr>
                                <w:rFonts w:eastAsia="MS Mincho"/>
                                <w:lang w:eastAsia="ja-JP"/>
                              </w:rPr>
                            </w:pPr>
                            <w:r w:rsidRPr="00037FA1">
                              <w:rPr>
                                <w:rFonts w:eastAsia="MS Mincho"/>
                                <w:lang w:eastAsia="ja-JP"/>
                              </w:rPr>
                              <w:t>When beam-related indication is provided, information pertaining to UE-side beamforming/receiving procedure used for data reception can be indicated through QCL to UE</w:t>
                            </w:r>
                          </w:p>
                          <w:p w14:paraId="087C4299" w14:textId="77777777" w:rsidR="00D53140" w:rsidRPr="00037FA1" w:rsidRDefault="00D53140" w:rsidP="00D53140">
                            <w:pPr>
                              <w:numPr>
                                <w:ilvl w:val="2"/>
                                <w:numId w:val="19"/>
                              </w:numPr>
                              <w:snapToGrid w:val="0"/>
                              <w:rPr>
                                <w:rFonts w:eastAsia="MS Mincho"/>
                                <w:lang w:eastAsia="ja-JP"/>
                              </w:rPr>
                            </w:pPr>
                            <w:r w:rsidRPr="00037FA1">
                              <w:rPr>
                                <w:rFonts w:eastAsia="MS Mincho"/>
                                <w:lang w:eastAsia="ja-JP"/>
                              </w:rPr>
                              <w:t>FFS: Information other than QCL</w:t>
                            </w:r>
                          </w:p>
                          <w:p w14:paraId="28837FB5" w14:textId="77777777" w:rsidR="0065665F" w:rsidRDefault="00D53140" w:rsidP="00E9447C">
                            <w:pPr>
                              <w:numPr>
                                <w:ilvl w:val="1"/>
                                <w:numId w:val="19"/>
                              </w:numPr>
                              <w:snapToGrid w:val="0"/>
                              <w:rPr>
                                <w:rFonts w:eastAsia="MS Mincho"/>
                                <w:lang w:eastAsia="ja-JP"/>
                              </w:rPr>
                            </w:pPr>
                            <w:r w:rsidRPr="00037FA1">
                              <w:rPr>
                                <w:rFonts w:eastAsia="MS Mincho"/>
                                <w:lang w:eastAsia="ja-JP"/>
                              </w:rPr>
                              <w:t xml:space="preserve">FFS: When beam-related indication is provided, information pertaining to the </w:t>
                            </w:r>
                            <w:proofErr w:type="spellStart"/>
                            <w:r w:rsidRPr="00037FA1">
                              <w:rPr>
                                <w:rFonts w:eastAsia="MS Mincho"/>
                                <w:lang w:eastAsia="ja-JP"/>
                              </w:rPr>
                              <w:t>Tx</w:t>
                            </w:r>
                            <w:proofErr w:type="spellEnd"/>
                            <w:r w:rsidRPr="00037FA1">
                              <w:rPr>
                                <w:rFonts w:eastAsia="MS Mincho"/>
                                <w:lang w:eastAsia="ja-JP"/>
                              </w:rPr>
                              <w:t xml:space="preserve"> beam used for data transmission is indicated to UE</w:t>
                            </w:r>
                          </w:p>
                          <w:p w14:paraId="29B068A4" w14:textId="0F8269D6" w:rsidR="00D53140" w:rsidRPr="00F75DF1" w:rsidRDefault="0065665F" w:rsidP="00E9447C">
                            <w:pPr>
                              <w:numPr>
                                <w:ilvl w:val="1"/>
                                <w:numId w:val="19"/>
                              </w:numPr>
                              <w:snapToGrid w:val="0"/>
                              <w:rPr>
                                <w:rFonts w:eastAsia="MS Mincho"/>
                                <w:lang w:eastAsia="ja-JP"/>
                              </w:rPr>
                            </w:pPr>
                            <w:r>
                              <w:rPr>
                                <w:rFonts w:eastAsia="MS Mincho"/>
                                <w:lang w:eastAsia="ja-JP"/>
                              </w:rPr>
                              <w:t>…</w:t>
                            </w:r>
                            <w:r w:rsidR="00D53140" w:rsidRPr="00037FA1">
                              <w:rPr>
                                <w:rFonts w:eastAsia="MS Mincho"/>
                                <w:lang w:eastAsia="ja-JP"/>
                              </w:rPr>
                              <w:t xml:space="preserve"> </w:t>
                            </w:r>
                          </w:p>
                          <w:p w14:paraId="03DF87CE" w14:textId="01358BBD" w:rsidR="00E9447C" w:rsidRPr="003D4847" w:rsidRDefault="00E9447C" w:rsidP="00E9447C">
                            <w:pPr>
                              <w:rPr>
                                <w:rFonts w:eastAsia="MS Mincho"/>
                                <w:lang w:eastAsia="ja-JP"/>
                              </w:rPr>
                            </w:pPr>
                            <w:r>
                              <w:rPr>
                                <w:rFonts w:eastAsia="MS Mincho"/>
                                <w:b/>
                                <w:highlight w:val="green"/>
                                <w:lang w:eastAsia="ja-JP"/>
                              </w:rPr>
                              <w:t>Agreement</w:t>
                            </w:r>
                            <w:r w:rsidR="00D53140">
                              <w:rPr>
                                <w:rFonts w:eastAsia="MS Mincho"/>
                                <w:b/>
                                <w:highlight w:val="green"/>
                                <w:lang w:eastAsia="ja-JP"/>
                              </w:rPr>
                              <w:t xml:space="preserve"> #2</w:t>
                            </w:r>
                            <w:r>
                              <w:rPr>
                                <w:rFonts w:eastAsia="MS Mincho"/>
                                <w:b/>
                                <w:highlight w:val="green"/>
                                <w:lang w:eastAsia="ja-JP"/>
                              </w:rPr>
                              <w:t xml:space="preserve"> (RAN1#86b)</w:t>
                            </w:r>
                            <w:r w:rsidRPr="003D4847">
                              <w:rPr>
                                <w:rFonts w:eastAsia="MS Mincho"/>
                                <w:highlight w:val="green"/>
                                <w:lang w:eastAsia="ja-JP"/>
                              </w:rPr>
                              <w:t>:</w:t>
                            </w:r>
                          </w:p>
                          <w:p w14:paraId="31698A5B" w14:textId="77777777" w:rsidR="00E9447C" w:rsidRPr="003D4847" w:rsidRDefault="00E9447C" w:rsidP="00E9447C">
                            <w:pPr>
                              <w:numPr>
                                <w:ilvl w:val="0"/>
                                <w:numId w:val="16"/>
                              </w:numPr>
                              <w:rPr>
                                <w:rFonts w:eastAsia="MS Mincho"/>
                                <w:lang w:eastAsia="ja-JP"/>
                              </w:rPr>
                            </w:pPr>
                            <w:r w:rsidRPr="003D4847">
                              <w:rPr>
                                <w:rFonts w:eastAsia="MS Mincho"/>
                                <w:lang w:eastAsia="ja-JP"/>
                              </w:rPr>
                              <w:t>Support using same or different beams on control channel and the corresponding data channel transmissions</w:t>
                            </w:r>
                          </w:p>
                          <w:p w14:paraId="38ED9874" w14:textId="77777777" w:rsidR="00E9447C" w:rsidRPr="003D4847" w:rsidRDefault="00E9447C" w:rsidP="00E9447C">
                            <w:pPr>
                              <w:numPr>
                                <w:ilvl w:val="1"/>
                                <w:numId w:val="16"/>
                              </w:numPr>
                              <w:rPr>
                                <w:rFonts w:eastAsia="MS Mincho"/>
                                <w:lang w:eastAsia="ja-JP"/>
                              </w:rPr>
                            </w:pPr>
                            <w:r w:rsidRPr="003D4847">
                              <w:rPr>
                                <w:rFonts w:eastAsia="MS Mincho"/>
                                <w:lang w:eastAsia="ja-JP"/>
                              </w:rPr>
                              <w:t>FFS the antenna ports for control channel and the corresponding data channel (e.g., sharing some ports or not)</w:t>
                            </w:r>
                          </w:p>
                          <w:p w14:paraId="0DFE7A5A" w14:textId="5A19D380" w:rsidR="00E9447C" w:rsidRDefault="00E9447C" w:rsidP="00E9447C">
                            <w:pPr>
                              <w:numPr>
                                <w:ilvl w:val="0"/>
                                <w:numId w:val="16"/>
                              </w:numPr>
                              <w:rPr>
                                <w:rFonts w:eastAsia="MS Mincho"/>
                                <w:lang w:eastAsia="ja-JP"/>
                              </w:rPr>
                            </w:pPr>
                            <w:r w:rsidRPr="003D4847">
                              <w:rPr>
                                <w:rFonts w:eastAsia="MS Mincho"/>
                                <w:lang w:eastAsia="ja-JP"/>
                              </w:rPr>
                              <w:t>Study detailed aspects related to beams/beam pairs indication/reporting involving usage of control and data channels and involving one or more TRPs</w:t>
                            </w:r>
                          </w:p>
                          <w:p w14:paraId="2BD3C49F" w14:textId="285D330D" w:rsidR="00E9447C" w:rsidRDefault="00E9447C" w:rsidP="00E9447C">
                            <w:pPr>
                              <w:rPr>
                                <w:rFonts w:eastAsia="MS Mincho"/>
                                <w:lang w:eastAsia="ja-JP"/>
                              </w:rPr>
                            </w:pPr>
                          </w:p>
                          <w:p w14:paraId="1A7C41F5" w14:textId="39C21529" w:rsidR="00E9447C" w:rsidRPr="00E9447C" w:rsidRDefault="00E9447C" w:rsidP="00E9447C">
                            <w:pPr>
                              <w:rPr>
                                <w:b/>
                                <w:highlight w:val="green"/>
                                <w:u w:val="single"/>
                              </w:rPr>
                            </w:pPr>
                            <w:r w:rsidRPr="00FA3C94">
                              <w:rPr>
                                <w:b/>
                                <w:highlight w:val="green"/>
                                <w:u w:val="single"/>
                              </w:rPr>
                              <w:t>Agreement</w:t>
                            </w:r>
                            <w:r>
                              <w:rPr>
                                <w:b/>
                                <w:highlight w:val="green"/>
                                <w:u w:val="single"/>
                              </w:rPr>
                              <w:t xml:space="preserve"> </w:t>
                            </w:r>
                            <w:r w:rsidR="00D53140">
                              <w:rPr>
                                <w:b/>
                                <w:highlight w:val="green"/>
                                <w:u w:val="single"/>
                              </w:rPr>
                              <w:t>#3</w:t>
                            </w:r>
                            <w:r>
                              <w:rPr>
                                <w:b/>
                                <w:highlight w:val="green"/>
                                <w:u w:val="single"/>
                              </w:rPr>
                              <w:t xml:space="preserve"> (RAN1 NR-AH3)</w:t>
                            </w:r>
                            <w:r w:rsidRPr="00FA3C94">
                              <w:rPr>
                                <w:b/>
                                <w:highlight w:val="green"/>
                                <w:u w:val="single"/>
                              </w:rPr>
                              <w:t>:</w:t>
                            </w:r>
                          </w:p>
                          <w:p w14:paraId="2E4DFDE4" w14:textId="77777777" w:rsidR="00E9447C" w:rsidRPr="007D7074" w:rsidRDefault="00E9447C" w:rsidP="00E9447C">
                            <w:r w:rsidRPr="007D7074">
                              <w:t>The QCL configuration for PDCCH contains the information which provides a reference to a TCI state</w:t>
                            </w:r>
                          </w:p>
                          <w:p w14:paraId="0111E462" w14:textId="77777777" w:rsidR="00E9447C" w:rsidRDefault="00E9447C" w:rsidP="00E9447C">
                            <w:pPr>
                              <w:numPr>
                                <w:ilvl w:val="0"/>
                                <w:numId w:val="17"/>
                              </w:numPr>
                              <w:rPr>
                                <w:lang w:eastAsia="x-none"/>
                              </w:rPr>
                            </w:pPr>
                            <w:r w:rsidRPr="00BD2B69">
                              <w:rPr>
                                <w:lang w:eastAsia="x-none"/>
                              </w:rPr>
                              <w:t>Alt 1: The QCL configuration/indication is on a per CORESET basis</w:t>
                            </w:r>
                          </w:p>
                          <w:p w14:paraId="26732655" w14:textId="77777777" w:rsidR="00E9447C" w:rsidRPr="00BD2B69" w:rsidRDefault="00E9447C" w:rsidP="00E9447C">
                            <w:pPr>
                              <w:numPr>
                                <w:ilvl w:val="1"/>
                                <w:numId w:val="17"/>
                              </w:numPr>
                              <w:rPr>
                                <w:lang w:eastAsia="x-none"/>
                              </w:rPr>
                            </w:pPr>
                            <w:r w:rsidRPr="00535A25">
                              <w:rPr>
                                <w:lang w:eastAsia="x-none"/>
                              </w:rPr>
                              <w:t>The UE applies the QCL assumption on the associated CORESET monitoring occasions. All search space(s) within the CORESET utilize the same QCL.</w:t>
                            </w:r>
                          </w:p>
                          <w:p w14:paraId="2A9258D8" w14:textId="77777777" w:rsidR="00E9447C" w:rsidRDefault="00E9447C" w:rsidP="00E9447C">
                            <w:pPr>
                              <w:numPr>
                                <w:ilvl w:val="0"/>
                                <w:numId w:val="17"/>
                              </w:numPr>
                              <w:rPr>
                                <w:lang w:eastAsia="x-none"/>
                              </w:rPr>
                            </w:pPr>
                            <w:r w:rsidRPr="00BD2B69">
                              <w:rPr>
                                <w:lang w:eastAsia="x-none"/>
                              </w:rPr>
                              <w:t>Alt 2: The QCL configuration/indication is on a per search space basis</w:t>
                            </w:r>
                          </w:p>
                          <w:p w14:paraId="4B672884" w14:textId="77777777" w:rsidR="00E9447C" w:rsidRPr="00BD2B69" w:rsidRDefault="00E9447C" w:rsidP="00E9447C">
                            <w:pPr>
                              <w:numPr>
                                <w:ilvl w:val="1"/>
                                <w:numId w:val="17"/>
                              </w:numPr>
                              <w:rPr>
                                <w:lang w:eastAsia="x-none"/>
                              </w:rPr>
                            </w:pPr>
                            <w:r w:rsidRPr="00535A25">
                              <w:rPr>
                                <w:lang w:eastAsia="x-none"/>
                              </w:rPr>
                              <w:t>The UE applies the QCL assumption on an associated search space. This could mean that in the case where there are multiple search spaces within a CORESET, the UE may be configured with different QCL assumptions for different search spaces.</w:t>
                            </w:r>
                          </w:p>
                          <w:p w14:paraId="4F8A25D2" w14:textId="77777777" w:rsidR="00E9447C" w:rsidRPr="00BD2B69" w:rsidRDefault="00E9447C" w:rsidP="00E9447C">
                            <w:pPr>
                              <w:numPr>
                                <w:ilvl w:val="0"/>
                                <w:numId w:val="17"/>
                              </w:numPr>
                              <w:rPr>
                                <w:lang w:eastAsia="x-none"/>
                              </w:rPr>
                            </w:pPr>
                            <w:r w:rsidRPr="00BD2B69">
                              <w:rPr>
                                <w:lang w:eastAsia="x-none"/>
                              </w:rPr>
                              <w:t>Note: The indication of QCL configuration is done by RRC or RRC + MAC CE (FFS: by DCI)</w:t>
                            </w:r>
                          </w:p>
                          <w:p w14:paraId="1B0B500F" w14:textId="5CCA0CAE" w:rsidR="00E9447C" w:rsidRDefault="00E9447C" w:rsidP="00E9447C">
                            <w:r w:rsidRPr="007D7074">
                              <w:t>Note: The above options are provided as input to the control channel agenda item discussion</w:t>
                            </w:r>
                          </w:p>
                          <w:p w14:paraId="1C0B09D3" w14:textId="733BBF37" w:rsidR="00E9447C" w:rsidRPr="00FA3C94" w:rsidRDefault="00E9447C" w:rsidP="00E9447C">
                            <w:pPr>
                              <w:rPr>
                                <w:b/>
                                <w:highlight w:val="green"/>
                                <w:u w:val="single"/>
                              </w:rPr>
                            </w:pPr>
                            <w:r w:rsidRPr="00FA3C94">
                              <w:rPr>
                                <w:b/>
                                <w:highlight w:val="green"/>
                                <w:u w:val="single"/>
                              </w:rPr>
                              <w:t>Agreement</w:t>
                            </w:r>
                            <w:r>
                              <w:rPr>
                                <w:b/>
                                <w:highlight w:val="green"/>
                                <w:u w:val="single"/>
                              </w:rPr>
                              <w:t xml:space="preserve"> #</w:t>
                            </w:r>
                            <w:r w:rsidR="00D53140">
                              <w:rPr>
                                <w:b/>
                                <w:highlight w:val="green"/>
                                <w:u w:val="single"/>
                              </w:rPr>
                              <w:t>4</w:t>
                            </w:r>
                            <w:r>
                              <w:rPr>
                                <w:b/>
                                <w:highlight w:val="green"/>
                                <w:u w:val="single"/>
                              </w:rPr>
                              <w:t xml:space="preserve"> (RAN1 NR-AH3)</w:t>
                            </w:r>
                            <w:r w:rsidRPr="00FA3C94">
                              <w:rPr>
                                <w:b/>
                                <w:highlight w:val="green"/>
                                <w:u w:val="single"/>
                              </w:rPr>
                              <w:t>:</w:t>
                            </w:r>
                          </w:p>
                          <w:p w14:paraId="6E849ADF" w14:textId="77777777" w:rsidR="00E9447C" w:rsidRPr="00BC682A" w:rsidRDefault="00E9447C" w:rsidP="00E9447C">
                            <w:pPr>
                              <w:numPr>
                                <w:ilvl w:val="0"/>
                                <w:numId w:val="18"/>
                              </w:numPr>
                            </w:pPr>
                            <w:r w:rsidRPr="00BC682A">
                              <w:rPr>
                                <w:bCs/>
                              </w:rPr>
                              <w:t>For QCL indication for PDSCH</w:t>
                            </w:r>
                            <w:r w:rsidRPr="00BC682A">
                              <w:t>:</w:t>
                            </w:r>
                          </w:p>
                          <w:p w14:paraId="70365831" w14:textId="77777777" w:rsidR="00E9447C" w:rsidRPr="00FA3C94" w:rsidRDefault="00E9447C" w:rsidP="00E9447C">
                            <w:pPr>
                              <w:numPr>
                                <w:ilvl w:val="1"/>
                                <w:numId w:val="18"/>
                              </w:numPr>
                            </w:pPr>
                            <w:r w:rsidRPr="00FA3C94">
                              <w:t>When TCI states are used for QCL indication, the UE receives an N-bit TCI field in DCI</w:t>
                            </w:r>
                          </w:p>
                          <w:p w14:paraId="6FE24151" w14:textId="77777777" w:rsidR="00E9447C" w:rsidRPr="00FA3C94" w:rsidRDefault="00E9447C" w:rsidP="00E9447C">
                            <w:pPr>
                              <w:numPr>
                                <w:ilvl w:val="2"/>
                                <w:numId w:val="18"/>
                              </w:numPr>
                            </w:pPr>
                            <w:r w:rsidRPr="00FA3C94">
                              <w:t>The UE assumes that the PDSCH DMRS is QCL with the DL RS(s) in the RS Set corresponding to the signaled TCI state</w:t>
                            </w:r>
                          </w:p>
                          <w:p w14:paraId="55F0A175" w14:textId="77777777" w:rsidR="00E9447C" w:rsidRPr="00FA3C94" w:rsidRDefault="00E9447C" w:rsidP="00E9447C">
                            <w:pPr>
                              <w:numPr>
                                <w:ilvl w:val="3"/>
                                <w:numId w:val="18"/>
                              </w:numPr>
                            </w:pPr>
                            <w:r w:rsidRPr="00FA3C94">
                              <w:t>FFS: whether or not a QCL type is configured, configuration details are for further study</w:t>
                            </w:r>
                          </w:p>
                          <w:p w14:paraId="0B6EE80A" w14:textId="77777777" w:rsidR="00E9447C" w:rsidRPr="00FA3C94" w:rsidRDefault="00E9447C" w:rsidP="00E9447C">
                            <w:pPr>
                              <w:numPr>
                                <w:ilvl w:val="1"/>
                                <w:numId w:val="18"/>
                              </w:numPr>
                            </w:pPr>
                            <w:r w:rsidRPr="00FA3C94">
                              <w:t xml:space="preserve"> Whether or not the TCI field is always present in a given DL-related DCI is FFS</w:t>
                            </w:r>
                          </w:p>
                          <w:p w14:paraId="38C875A4" w14:textId="77777777" w:rsidR="00E9447C" w:rsidRPr="00FA3C94" w:rsidRDefault="00E9447C" w:rsidP="00E9447C">
                            <w:pPr>
                              <w:numPr>
                                <w:ilvl w:val="1"/>
                                <w:numId w:val="18"/>
                              </w:numPr>
                            </w:pPr>
                            <w:r w:rsidRPr="00FA3C94">
                              <w:t>FFS: Whether or not the TCI field is in the same DCI as that containing the PDSCH scheduling assignment</w:t>
                            </w:r>
                          </w:p>
                          <w:p w14:paraId="7FA05B3E" w14:textId="7B001ABC" w:rsidR="00BF7642" w:rsidRPr="00BF7642" w:rsidRDefault="00E9447C" w:rsidP="00E9447C">
                            <w:pPr>
                              <w:rPr>
                                <w:rFonts w:eastAsia="MS Mincho"/>
                                <w:lang w:eastAsia="ja-JP"/>
                              </w:rPr>
                            </w:pPr>
                            <w:r w:rsidRPr="00FA3C94">
                              <w:t>FFS: Timing between when the UE receives a QCL configuration/indication and the first time that the QCL assumption may be applied fo</w:t>
                            </w:r>
                            <w:r>
                              <w:t>r demodulation of PDSCH or PDCCH.</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7AB2948C" w14:textId="5BE0CDFB" w:rsidR="00D53140" w:rsidRPr="00037FA1" w:rsidRDefault="00F75DF1" w:rsidP="00D53140">
                      <w:pPr>
                        <w:snapToGrid w:val="0"/>
                        <w:rPr>
                          <w:rFonts w:eastAsia="MS Mincho"/>
                          <w:lang w:eastAsia="ja-JP"/>
                        </w:rPr>
                      </w:pPr>
                      <w:r w:rsidRPr="00C855FD">
                        <w:rPr>
                          <w:rFonts w:eastAsia="MS Mincho"/>
                          <w:b/>
                          <w:highlight w:val="green"/>
                          <w:lang w:eastAsia="ja-JP"/>
                        </w:rPr>
                        <w:t>Agre</w:t>
                      </w:r>
                      <w:r>
                        <w:rPr>
                          <w:rFonts w:eastAsia="MS Mincho"/>
                          <w:b/>
                          <w:highlight w:val="green"/>
                          <w:lang w:eastAsia="ja-JP"/>
                        </w:rPr>
                        <w:t>ement #</w:t>
                      </w:r>
                      <w:r w:rsidR="00D53140">
                        <w:rPr>
                          <w:rFonts w:eastAsia="MS Mincho"/>
                          <w:b/>
                          <w:highlight w:val="green"/>
                          <w:lang w:eastAsia="ja-JP"/>
                        </w:rPr>
                        <w:t>1 (RAN1#86b)</w:t>
                      </w:r>
                      <w:r w:rsidR="00D53140" w:rsidRPr="003D4847">
                        <w:rPr>
                          <w:rFonts w:eastAsia="MS Mincho"/>
                          <w:highlight w:val="green"/>
                          <w:lang w:eastAsia="ja-JP"/>
                        </w:rPr>
                        <w:t>:</w:t>
                      </w:r>
                      <w:r w:rsidR="00D53140" w:rsidRPr="00037FA1">
                        <w:rPr>
                          <w:rFonts w:eastAsia="MS Mincho"/>
                          <w:highlight w:val="green"/>
                          <w:lang w:eastAsia="ja-JP"/>
                        </w:rPr>
                        <w:t>:</w:t>
                      </w:r>
                    </w:p>
                    <w:p w14:paraId="2FF9CB34" w14:textId="77777777" w:rsidR="00D53140" w:rsidRPr="00037FA1" w:rsidRDefault="00D53140" w:rsidP="00D53140">
                      <w:pPr>
                        <w:numPr>
                          <w:ilvl w:val="0"/>
                          <w:numId w:val="19"/>
                        </w:numPr>
                        <w:snapToGrid w:val="0"/>
                        <w:rPr>
                          <w:rFonts w:eastAsia="MS Mincho"/>
                          <w:lang w:eastAsia="ja-JP"/>
                        </w:rPr>
                      </w:pPr>
                      <w:r w:rsidRPr="00037FA1">
                        <w:rPr>
                          <w:rFonts w:eastAsia="MS Mincho"/>
                          <w:lang w:eastAsia="ja-JP"/>
                        </w:rPr>
                        <w:t>For downlink, NR supports beam management with and without beam-related indication</w:t>
                      </w:r>
                    </w:p>
                    <w:p w14:paraId="1CF5459C" w14:textId="77777777" w:rsidR="00D53140" w:rsidRPr="00037FA1" w:rsidRDefault="00D53140" w:rsidP="00D53140">
                      <w:pPr>
                        <w:numPr>
                          <w:ilvl w:val="1"/>
                          <w:numId w:val="19"/>
                        </w:numPr>
                        <w:snapToGrid w:val="0"/>
                        <w:rPr>
                          <w:rFonts w:eastAsia="MS Mincho"/>
                          <w:lang w:eastAsia="ja-JP"/>
                        </w:rPr>
                      </w:pPr>
                      <w:r w:rsidRPr="00037FA1">
                        <w:rPr>
                          <w:rFonts w:eastAsia="MS Mincho"/>
                          <w:lang w:eastAsia="ja-JP"/>
                        </w:rPr>
                        <w:t>When beam-related indication is provided, information pertaining to UE-side beamforming/receiving procedure used for data reception can be indicated through QCL to UE</w:t>
                      </w:r>
                    </w:p>
                    <w:p w14:paraId="087C4299" w14:textId="77777777" w:rsidR="00D53140" w:rsidRPr="00037FA1" w:rsidRDefault="00D53140" w:rsidP="00D53140">
                      <w:pPr>
                        <w:numPr>
                          <w:ilvl w:val="2"/>
                          <w:numId w:val="19"/>
                        </w:numPr>
                        <w:snapToGrid w:val="0"/>
                        <w:rPr>
                          <w:rFonts w:eastAsia="MS Mincho"/>
                          <w:lang w:eastAsia="ja-JP"/>
                        </w:rPr>
                      </w:pPr>
                      <w:r w:rsidRPr="00037FA1">
                        <w:rPr>
                          <w:rFonts w:eastAsia="MS Mincho"/>
                          <w:lang w:eastAsia="ja-JP"/>
                        </w:rPr>
                        <w:t>FFS: Information other than QCL</w:t>
                      </w:r>
                    </w:p>
                    <w:p w14:paraId="28837FB5" w14:textId="77777777" w:rsidR="0065665F" w:rsidRDefault="00D53140" w:rsidP="00E9447C">
                      <w:pPr>
                        <w:numPr>
                          <w:ilvl w:val="1"/>
                          <w:numId w:val="19"/>
                        </w:numPr>
                        <w:snapToGrid w:val="0"/>
                        <w:rPr>
                          <w:rFonts w:eastAsia="MS Mincho"/>
                          <w:lang w:eastAsia="ja-JP"/>
                        </w:rPr>
                      </w:pPr>
                      <w:r w:rsidRPr="00037FA1">
                        <w:rPr>
                          <w:rFonts w:eastAsia="MS Mincho"/>
                          <w:lang w:eastAsia="ja-JP"/>
                        </w:rPr>
                        <w:t xml:space="preserve">FFS: When beam-related indication is provided, information pertaining to the </w:t>
                      </w:r>
                      <w:proofErr w:type="spellStart"/>
                      <w:r w:rsidRPr="00037FA1">
                        <w:rPr>
                          <w:rFonts w:eastAsia="MS Mincho"/>
                          <w:lang w:eastAsia="ja-JP"/>
                        </w:rPr>
                        <w:t>Tx</w:t>
                      </w:r>
                      <w:proofErr w:type="spellEnd"/>
                      <w:r w:rsidRPr="00037FA1">
                        <w:rPr>
                          <w:rFonts w:eastAsia="MS Mincho"/>
                          <w:lang w:eastAsia="ja-JP"/>
                        </w:rPr>
                        <w:t xml:space="preserve"> beam used for data transmission is indicated to UE</w:t>
                      </w:r>
                    </w:p>
                    <w:p w14:paraId="29B068A4" w14:textId="0F8269D6" w:rsidR="00D53140" w:rsidRPr="00F75DF1" w:rsidRDefault="0065665F" w:rsidP="00E9447C">
                      <w:pPr>
                        <w:numPr>
                          <w:ilvl w:val="1"/>
                          <w:numId w:val="19"/>
                        </w:numPr>
                        <w:snapToGrid w:val="0"/>
                        <w:rPr>
                          <w:rFonts w:eastAsia="MS Mincho"/>
                          <w:lang w:eastAsia="ja-JP"/>
                        </w:rPr>
                      </w:pPr>
                      <w:r>
                        <w:rPr>
                          <w:rFonts w:eastAsia="MS Mincho"/>
                          <w:lang w:eastAsia="ja-JP"/>
                        </w:rPr>
                        <w:t>…</w:t>
                      </w:r>
                      <w:r w:rsidR="00D53140" w:rsidRPr="00037FA1">
                        <w:rPr>
                          <w:rFonts w:eastAsia="MS Mincho"/>
                          <w:lang w:eastAsia="ja-JP"/>
                        </w:rPr>
                        <w:t xml:space="preserve"> </w:t>
                      </w:r>
                    </w:p>
                    <w:p w14:paraId="03DF87CE" w14:textId="01358BBD" w:rsidR="00E9447C" w:rsidRPr="003D4847" w:rsidRDefault="00E9447C" w:rsidP="00E9447C">
                      <w:pPr>
                        <w:rPr>
                          <w:rFonts w:eastAsia="MS Mincho"/>
                          <w:lang w:eastAsia="ja-JP"/>
                        </w:rPr>
                      </w:pPr>
                      <w:r>
                        <w:rPr>
                          <w:rFonts w:eastAsia="MS Mincho"/>
                          <w:b/>
                          <w:highlight w:val="green"/>
                          <w:lang w:eastAsia="ja-JP"/>
                        </w:rPr>
                        <w:t>Agreement</w:t>
                      </w:r>
                      <w:r w:rsidR="00D53140">
                        <w:rPr>
                          <w:rFonts w:eastAsia="MS Mincho"/>
                          <w:b/>
                          <w:highlight w:val="green"/>
                          <w:lang w:eastAsia="ja-JP"/>
                        </w:rPr>
                        <w:t xml:space="preserve"> #2</w:t>
                      </w:r>
                      <w:r>
                        <w:rPr>
                          <w:rFonts w:eastAsia="MS Mincho"/>
                          <w:b/>
                          <w:highlight w:val="green"/>
                          <w:lang w:eastAsia="ja-JP"/>
                        </w:rPr>
                        <w:t xml:space="preserve"> (RAN1#86b)</w:t>
                      </w:r>
                      <w:r w:rsidRPr="003D4847">
                        <w:rPr>
                          <w:rFonts w:eastAsia="MS Mincho"/>
                          <w:highlight w:val="green"/>
                          <w:lang w:eastAsia="ja-JP"/>
                        </w:rPr>
                        <w:t>:</w:t>
                      </w:r>
                    </w:p>
                    <w:p w14:paraId="31698A5B" w14:textId="77777777" w:rsidR="00E9447C" w:rsidRPr="003D4847" w:rsidRDefault="00E9447C" w:rsidP="00E9447C">
                      <w:pPr>
                        <w:numPr>
                          <w:ilvl w:val="0"/>
                          <w:numId w:val="16"/>
                        </w:numPr>
                        <w:rPr>
                          <w:rFonts w:eastAsia="MS Mincho"/>
                          <w:lang w:eastAsia="ja-JP"/>
                        </w:rPr>
                      </w:pPr>
                      <w:r w:rsidRPr="003D4847">
                        <w:rPr>
                          <w:rFonts w:eastAsia="MS Mincho"/>
                          <w:lang w:eastAsia="ja-JP"/>
                        </w:rPr>
                        <w:t>Support using same or different beams on control channel and the corresponding data channel transmissions</w:t>
                      </w:r>
                    </w:p>
                    <w:p w14:paraId="38ED9874" w14:textId="77777777" w:rsidR="00E9447C" w:rsidRPr="003D4847" w:rsidRDefault="00E9447C" w:rsidP="00E9447C">
                      <w:pPr>
                        <w:numPr>
                          <w:ilvl w:val="1"/>
                          <w:numId w:val="16"/>
                        </w:numPr>
                        <w:rPr>
                          <w:rFonts w:eastAsia="MS Mincho"/>
                          <w:lang w:eastAsia="ja-JP"/>
                        </w:rPr>
                      </w:pPr>
                      <w:r w:rsidRPr="003D4847">
                        <w:rPr>
                          <w:rFonts w:eastAsia="MS Mincho"/>
                          <w:lang w:eastAsia="ja-JP"/>
                        </w:rPr>
                        <w:t>FFS the antenna ports for control channel and the corresponding data channel (e.g., sharing some ports or not)</w:t>
                      </w:r>
                    </w:p>
                    <w:p w14:paraId="0DFE7A5A" w14:textId="5A19D380" w:rsidR="00E9447C" w:rsidRDefault="00E9447C" w:rsidP="00E9447C">
                      <w:pPr>
                        <w:numPr>
                          <w:ilvl w:val="0"/>
                          <w:numId w:val="16"/>
                        </w:numPr>
                        <w:rPr>
                          <w:rFonts w:eastAsia="MS Mincho"/>
                          <w:lang w:eastAsia="ja-JP"/>
                        </w:rPr>
                      </w:pPr>
                      <w:r w:rsidRPr="003D4847">
                        <w:rPr>
                          <w:rFonts w:eastAsia="MS Mincho"/>
                          <w:lang w:eastAsia="ja-JP"/>
                        </w:rPr>
                        <w:t>Study detailed aspects related to beams/beam pairs indication/reporting involving usage of control and data channels and involving one or more TRPs</w:t>
                      </w:r>
                    </w:p>
                    <w:p w14:paraId="2BD3C49F" w14:textId="285D330D" w:rsidR="00E9447C" w:rsidRDefault="00E9447C" w:rsidP="00E9447C">
                      <w:pPr>
                        <w:rPr>
                          <w:rFonts w:eastAsia="MS Mincho"/>
                          <w:lang w:eastAsia="ja-JP"/>
                        </w:rPr>
                      </w:pPr>
                    </w:p>
                    <w:p w14:paraId="1A7C41F5" w14:textId="39C21529" w:rsidR="00E9447C" w:rsidRPr="00E9447C" w:rsidRDefault="00E9447C" w:rsidP="00E9447C">
                      <w:pPr>
                        <w:rPr>
                          <w:b/>
                          <w:highlight w:val="green"/>
                          <w:u w:val="single"/>
                        </w:rPr>
                      </w:pPr>
                      <w:r w:rsidRPr="00FA3C94">
                        <w:rPr>
                          <w:b/>
                          <w:highlight w:val="green"/>
                          <w:u w:val="single"/>
                        </w:rPr>
                        <w:t>Agreement</w:t>
                      </w:r>
                      <w:r>
                        <w:rPr>
                          <w:b/>
                          <w:highlight w:val="green"/>
                          <w:u w:val="single"/>
                        </w:rPr>
                        <w:t xml:space="preserve"> </w:t>
                      </w:r>
                      <w:r w:rsidR="00D53140">
                        <w:rPr>
                          <w:b/>
                          <w:highlight w:val="green"/>
                          <w:u w:val="single"/>
                        </w:rPr>
                        <w:t>#3</w:t>
                      </w:r>
                      <w:r>
                        <w:rPr>
                          <w:b/>
                          <w:highlight w:val="green"/>
                          <w:u w:val="single"/>
                        </w:rPr>
                        <w:t xml:space="preserve"> (RAN1 NR-AH3)</w:t>
                      </w:r>
                      <w:r w:rsidRPr="00FA3C94">
                        <w:rPr>
                          <w:b/>
                          <w:highlight w:val="green"/>
                          <w:u w:val="single"/>
                        </w:rPr>
                        <w:t>:</w:t>
                      </w:r>
                    </w:p>
                    <w:p w14:paraId="2E4DFDE4" w14:textId="77777777" w:rsidR="00E9447C" w:rsidRPr="007D7074" w:rsidRDefault="00E9447C" w:rsidP="00E9447C">
                      <w:r w:rsidRPr="007D7074">
                        <w:t>The QCL configuration for PDCCH contains the information which provides a reference to a TCI state</w:t>
                      </w:r>
                    </w:p>
                    <w:p w14:paraId="0111E462" w14:textId="77777777" w:rsidR="00E9447C" w:rsidRDefault="00E9447C" w:rsidP="00E9447C">
                      <w:pPr>
                        <w:numPr>
                          <w:ilvl w:val="0"/>
                          <w:numId w:val="17"/>
                        </w:numPr>
                        <w:rPr>
                          <w:lang w:eastAsia="x-none"/>
                        </w:rPr>
                      </w:pPr>
                      <w:r w:rsidRPr="00BD2B69">
                        <w:rPr>
                          <w:lang w:eastAsia="x-none"/>
                        </w:rPr>
                        <w:t>Alt 1: The QCL configuration/indication is on a per CORESET basis</w:t>
                      </w:r>
                    </w:p>
                    <w:p w14:paraId="26732655" w14:textId="77777777" w:rsidR="00E9447C" w:rsidRPr="00BD2B69" w:rsidRDefault="00E9447C" w:rsidP="00E9447C">
                      <w:pPr>
                        <w:numPr>
                          <w:ilvl w:val="1"/>
                          <w:numId w:val="17"/>
                        </w:numPr>
                        <w:rPr>
                          <w:lang w:eastAsia="x-none"/>
                        </w:rPr>
                      </w:pPr>
                      <w:r w:rsidRPr="00535A25">
                        <w:rPr>
                          <w:lang w:eastAsia="x-none"/>
                        </w:rPr>
                        <w:t>The UE applies the QCL assumption on the associated CORESET monitoring occasions. All search space(s) within the CORESET utilize the same QCL.</w:t>
                      </w:r>
                    </w:p>
                    <w:p w14:paraId="2A9258D8" w14:textId="77777777" w:rsidR="00E9447C" w:rsidRDefault="00E9447C" w:rsidP="00E9447C">
                      <w:pPr>
                        <w:numPr>
                          <w:ilvl w:val="0"/>
                          <w:numId w:val="17"/>
                        </w:numPr>
                        <w:rPr>
                          <w:lang w:eastAsia="x-none"/>
                        </w:rPr>
                      </w:pPr>
                      <w:r w:rsidRPr="00BD2B69">
                        <w:rPr>
                          <w:lang w:eastAsia="x-none"/>
                        </w:rPr>
                        <w:t>Alt 2: The QCL configuration/indication is on a per search space basis</w:t>
                      </w:r>
                    </w:p>
                    <w:p w14:paraId="4B672884" w14:textId="77777777" w:rsidR="00E9447C" w:rsidRPr="00BD2B69" w:rsidRDefault="00E9447C" w:rsidP="00E9447C">
                      <w:pPr>
                        <w:numPr>
                          <w:ilvl w:val="1"/>
                          <w:numId w:val="17"/>
                        </w:numPr>
                        <w:rPr>
                          <w:lang w:eastAsia="x-none"/>
                        </w:rPr>
                      </w:pPr>
                      <w:r w:rsidRPr="00535A25">
                        <w:rPr>
                          <w:lang w:eastAsia="x-none"/>
                        </w:rPr>
                        <w:t>The UE applies the QCL assumption on an associated search space. This could mean that in the case where there are multiple search spaces within a CORESET, the UE may be configured with different QCL assumptions for different search spaces.</w:t>
                      </w:r>
                    </w:p>
                    <w:p w14:paraId="4F8A25D2" w14:textId="77777777" w:rsidR="00E9447C" w:rsidRPr="00BD2B69" w:rsidRDefault="00E9447C" w:rsidP="00E9447C">
                      <w:pPr>
                        <w:numPr>
                          <w:ilvl w:val="0"/>
                          <w:numId w:val="17"/>
                        </w:numPr>
                        <w:rPr>
                          <w:lang w:eastAsia="x-none"/>
                        </w:rPr>
                      </w:pPr>
                      <w:r w:rsidRPr="00BD2B69">
                        <w:rPr>
                          <w:lang w:eastAsia="x-none"/>
                        </w:rPr>
                        <w:t>Note: The indication of QCL configuration is done by RRC or RRC + MAC CE (FFS: by DCI)</w:t>
                      </w:r>
                    </w:p>
                    <w:p w14:paraId="1B0B500F" w14:textId="5CCA0CAE" w:rsidR="00E9447C" w:rsidRDefault="00E9447C" w:rsidP="00E9447C">
                      <w:r w:rsidRPr="007D7074">
                        <w:t>Note: The above options are provided as input to the control channel agenda item discussion</w:t>
                      </w:r>
                    </w:p>
                    <w:p w14:paraId="1C0B09D3" w14:textId="733BBF37" w:rsidR="00E9447C" w:rsidRPr="00FA3C94" w:rsidRDefault="00E9447C" w:rsidP="00E9447C">
                      <w:pPr>
                        <w:rPr>
                          <w:b/>
                          <w:highlight w:val="green"/>
                          <w:u w:val="single"/>
                        </w:rPr>
                      </w:pPr>
                      <w:r w:rsidRPr="00FA3C94">
                        <w:rPr>
                          <w:b/>
                          <w:highlight w:val="green"/>
                          <w:u w:val="single"/>
                        </w:rPr>
                        <w:t>Agreement</w:t>
                      </w:r>
                      <w:r>
                        <w:rPr>
                          <w:b/>
                          <w:highlight w:val="green"/>
                          <w:u w:val="single"/>
                        </w:rPr>
                        <w:t xml:space="preserve"> #</w:t>
                      </w:r>
                      <w:r w:rsidR="00D53140">
                        <w:rPr>
                          <w:b/>
                          <w:highlight w:val="green"/>
                          <w:u w:val="single"/>
                        </w:rPr>
                        <w:t>4</w:t>
                      </w:r>
                      <w:r>
                        <w:rPr>
                          <w:b/>
                          <w:highlight w:val="green"/>
                          <w:u w:val="single"/>
                        </w:rPr>
                        <w:t xml:space="preserve"> (RAN1 NR-AH3)</w:t>
                      </w:r>
                      <w:r w:rsidRPr="00FA3C94">
                        <w:rPr>
                          <w:b/>
                          <w:highlight w:val="green"/>
                          <w:u w:val="single"/>
                        </w:rPr>
                        <w:t>:</w:t>
                      </w:r>
                    </w:p>
                    <w:p w14:paraId="6E849ADF" w14:textId="77777777" w:rsidR="00E9447C" w:rsidRPr="00BC682A" w:rsidRDefault="00E9447C" w:rsidP="00E9447C">
                      <w:pPr>
                        <w:numPr>
                          <w:ilvl w:val="0"/>
                          <w:numId w:val="18"/>
                        </w:numPr>
                      </w:pPr>
                      <w:r w:rsidRPr="00BC682A">
                        <w:rPr>
                          <w:bCs/>
                        </w:rPr>
                        <w:t>For QCL indication for PDSCH</w:t>
                      </w:r>
                      <w:r w:rsidRPr="00BC682A">
                        <w:t>:</w:t>
                      </w:r>
                    </w:p>
                    <w:p w14:paraId="70365831" w14:textId="77777777" w:rsidR="00E9447C" w:rsidRPr="00FA3C94" w:rsidRDefault="00E9447C" w:rsidP="00E9447C">
                      <w:pPr>
                        <w:numPr>
                          <w:ilvl w:val="1"/>
                          <w:numId w:val="18"/>
                        </w:numPr>
                      </w:pPr>
                      <w:r w:rsidRPr="00FA3C94">
                        <w:t>When TCI states are used for QCL indication, the UE receives an N-bit TCI field in DCI</w:t>
                      </w:r>
                    </w:p>
                    <w:p w14:paraId="6FE24151" w14:textId="77777777" w:rsidR="00E9447C" w:rsidRPr="00FA3C94" w:rsidRDefault="00E9447C" w:rsidP="00E9447C">
                      <w:pPr>
                        <w:numPr>
                          <w:ilvl w:val="2"/>
                          <w:numId w:val="18"/>
                        </w:numPr>
                      </w:pPr>
                      <w:r w:rsidRPr="00FA3C94">
                        <w:t>The UE assumes that the PDSCH DMRS is QCL with the DL RS(s) in the RS Set corresponding to the signaled TCI state</w:t>
                      </w:r>
                    </w:p>
                    <w:p w14:paraId="55F0A175" w14:textId="77777777" w:rsidR="00E9447C" w:rsidRPr="00FA3C94" w:rsidRDefault="00E9447C" w:rsidP="00E9447C">
                      <w:pPr>
                        <w:numPr>
                          <w:ilvl w:val="3"/>
                          <w:numId w:val="18"/>
                        </w:numPr>
                      </w:pPr>
                      <w:r w:rsidRPr="00FA3C94">
                        <w:t>FFS: whether or not a QCL type is configured, configuration details are for further study</w:t>
                      </w:r>
                    </w:p>
                    <w:p w14:paraId="0B6EE80A" w14:textId="77777777" w:rsidR="00E9447C" w:rsidRPr="00FA3C94" w:rsidRDefault="00E9447C" w:rsidP="00E9447C">
                      <w:pPr>
                        <w:numPr>
                          <w:ilvl w:val="1"/>
                          <w:numId w:val="18"/>
                        </w:numPr>
                      </w:pPr>
                      <w:r w:rsidRPr="00FA3C94">
                        <w:t xml:space="preserve"> Whether or not the TCI field is always present in a given DL-related DCI is FFS</w:t>
                      </w:r>
                    </w:p>
                    <w:p w14:paraId="38C875A4" w14:textId="77777777" w:rsidR="00E9447C" w:rsidRPr="00FA3C94" w:rsidRDefault="00E9447C" w:rsidP="00E9447C">
                      <w:pPr>
                        <w:numPr>
                          <w:ilvl w:val="1"/>
                          <w:numId w:val="18"/>
                        </w:numPr>
                      </w:pPr>
                      <w:r w:rsidRPr="00FA3C94">
                        <w:t>FFS: Whether or not the TCI field is in the same DCI as that containing the PDSCH scheduling assignment</w:t>
                      </w:r>
                    </w:p>
                    <w:p w14:paraId="7FA05B3E" w14:textId="7B001ABC" w:rsidR="00BF7642" w:rsidRPr="00BF7642" w:rsidRDefault="00E9447C" w:rsidP="00E9447C">
                      <w:pPr>
                        <w:rPr>
                          <w:rFonts w:eastAsia="MS Mincho"/>
                          <w:lang w:eastAsia="ja-JP"/>
                        </w:rPr>
                      </w:pPr>
                      <w:r w:rsidRPr="00FA3C94">
                        <w:t>FFS: Timing between when the UE receives a QCL configuration/indication and the first time that the QCL assumption may be applied fo</w:t>
                      </w:r>
                      <w:r>
                        <w:t>r demodulation of PDSCH or PDCCH.</w:t>
                      </w:r>
                    </w:p>
                  </w:txbxContent>
                </v:textbox>
                <w10:anchorlock/>
              </v:shape>
            </w:pict>
          </mc:Fallback>
        </mc:AlternateContent>
      </w:r>
    </w:p>
    <w:p w14:paraId="45D94F03" w14:textId="647911C2" w:rsidR="00477768" w:rsidRPr="00CE0424" w:rsidRDefault="00BF7642" w:rsidP="00BF7642">
      <w:pPr>
        <w:pStyle w:val="BodyText"/>
      </w:pPr>
      <w:r>
        <w:lastRenderedPageBreak/>
        <w:t xml:space="preserve">In </w:t>
      </w:r>
      <w:r w:rsidR="00E9447C">
        <w:t>this contribution, we discuss the usage of a common beam for PDCCH and PDSCH, and the implications that would have on the standard. We elaborate on suitable beam widths for the PDCCH and PDSCH transmissions, and discuss if and how that could be conveyed to the UE.</w:t>
      </w:r>
    </w:p>
    <w:p w14:paraId="3CB8F8BC" w14:textId="276C43CF" w:rsidR="004000E8" w:rsidRDefault="004000E8" w:rsidP="00CE0424">
      <w:pPr>
        <w:pStyle w:val="Heading1"/>
      </w:pPr>
      <w:bookmarkStart w:id="1" w:name="_Ref178064866"/>
      <w:r w:rsidRPr="00CE0424">
        <w:t>Discussion</w:t>
      </w:r>
      <w:bookmarkEnd w:id="1"/>
    </w:p>
    <w:p w14:paraId="7F72367C" w14:textId="7F695FC4" w:rsidR="00F75DF1" w:rsidRPr="00F75DF1" w:rsidRDefault="00F75DF1" w:rsidP="00F75DF1">
      <w:r>
        <w:t xml:space="preserve">As stated already in agreement #1, the NW can choose to operate beam management with and without beam indication. As demonstrated in </w:t>
      </w:r>
      <w:r>
        <w:fldChar w:fldCharType="begin"/>
      </w:r>
      <w:r>
        <w:instrText xml:space="preserve"> REF _Ref494707681 \r \h </w:instrText>
      </w:r>
      <w:r>
        <w:fldChar w:fldCharType="separate"/>
      </w:r>
      <w:r>
        <w:t>[1]</w:t>
      </w:r>
      <w:r>
        <w:fldChar w:fldCharType="end"/>
      </w:r>
      <w:r>
        <w:t xml:space="preserve">, </w:t>
      </w:r>
      <w:r w:rsidR="000412AE">
        <w:t xml:space="preserve">operating </w:t>
      </w:r>
      <w:r w:rsidR="000412AE">
        <w:rPr>
          <w:i/>
        </w:rPr>
        <w:t xml:space="preserve">without </w:t>
      </w:r>
      <w:r w:rsidR="000412AE">
        <w:t xml:space="preserve">beam indications </w:t>
      </w:r>
      <w:r>
        <w:t>provides very good performance in many cases. In summary, th</w:t>
      </w:r>
      <w:r w:rsidR="000412AE">
        <w:t>e</w:t>
      </w:r>
      <w:r>
        <w:t xml:space="preserve"> solution builds on that the </w:t>
      </w:r>
      <w:proofErr w:type="spellStart"/>
      <w:r>
        <w:t>gNB</w:t>
      </w:r>
      <w:proofErr w:type="spellEnd"/>
      <w:r>
        <w:t xml:space="preserve"> and the UE update their beams at different times, i.e., that the </w:t>
      </w:r>
      <w:proofErr w:type="spellStart"/>
      <w:r>
        <w:t>gNB</w:t>
      </w:r>
      <w:proofErr w:type="spellEnd"/>
      <w:r>
        <w:t xml:space="preserve"> applies separate P2/P3 procedures. Clearly in this case, the </w:t>
      </w:r>
      <w:proofErr w:type="spellStart"/>
      <w:r>
        <w:t>gNB</w:t>
      </w:r>
      <w:proofErr w:type="spellEnd"/>
      <w:r>
        <w:t xml:space="preserve"> may use same of different beams for PDCCH and PDSCH transmission, this is transparent to the UE, and standard-agnostic.</w:t>
      </w:r>
    </w:p>
    <w:p w14:paraId="4A4E63CF" w14:textId="15E7B373" w:rsidR="00A531F2" w:rsidRDefault="00A531F2" w:rsidP="00A531F2">
      <w:pPr>
        <w:pStyle w:val="Observation"/>
      </w:pPr>
      <w:bookmarkStart w:id="2" w:name="_Toc494707443"/>
      <w:r>
        <w:t xml:space="preserve">The </w:t>
      </w:r>
      <w:proofErr w:type="spellStart"/>
      <w:r>
        <w:t>gNB</w:t>
      </w:r>
      <w:proofErr w:type="spellEnd"/>
      <w:r>
        <w:t xml:space="preserve"> may choose to change the </w:t>
      </w:r>
      <w:proofErr w:type="spellStart"/>
      <w:r>
        <w:t>Tx</w:t>
      </w:r>
      <w:proofErr w:type="spellEnd"/>
      <w:r>
        <w:t xml:space="preserve"> beams of the PDCCH and PDSCH without informing the UE, i.e., to apply beam management without beam indication.</w:t>
      </w:r>
      <w:bookmarkEnd w:id="2"/>
    </w:p>
    <w:p w14:paraId="74DBF13B" w14:textId="5067CCCC" w:rsidR="00F75DF1" w:rsidRDefault="007A416E" w:rsidP="007A416E">
      <w:r>
        <w:t xml:space="preserve">When the NW operates beam management </w:t>
      </w:r>
      <w:r w:rsidRPr="000412AE">
        <w:rPr>
          <w:i/>
        </w:rPr>
        <w:t>with</w:t>
      </w:r>
      <w:r>
        <w:t xml:space="preserve"> beam indication, the </w:t>
      </w:r>
      <w:proofErr w:type="spellStart"/>
      <w:r>
        <w:t>gNB</w:t>
      </w:r>
      <w:proofErr w:type="spellEnd"/>
      <w:r>
        <w:t xml:space="preserve"> sends </w:t>
      </w:r>
      <w:r w:rsidR="004073DD">
        <w:t xml:space="preserve">QCL </w:t>
      </w:r>
      <w:r>
        <w:t>indications</w:t>
      </w:r>
      <w:r w:rsidR="000412AE">
        <w:t xml:space="preserve"> for the DMRSs of the PDCCH and/or PDSCH</w:t>
      </w:r>
      <w:r>
        <w:t xml:space="preserve">. </w:t>
      </w:r>
      <w:r w:rsidR="000412AE">
        <w:t>The QCL indications point</w:t>
      </w:r>
      <w:r>
        <w:t xml:space="preserve"> to a previously transmitted reference signal, and </w:t>
      </w:r>
      <w:r w:rsidR="000412AE">
        <w:t>informs the UE that it may assume that the DMRS is spatially QCL with the previously received RS. The UE will use this information to adjust its Rx beam.</w:t>
      </w:r>
      <w:r w:rsidR="00F9594F">
        <w:t xml:space="preserve"> More information about beam indication options can be found in </w:t>
      </w:r>
      <w:r w:rsidR="00FF46A2">
        <w:fldChar w:fldCharType="begin"/>
      </w:r>
      <w:r w:rsidR="00FF46A2">
        <w:instrText xml:space="preserve"> REF _Ref494730135 \r \h </w:instrText>
      </w:r>
      <w:r w:rsidR="00FF46A2">
        <w:fldChar w:fldCharType="separate"/>
      </w:r>
      <w:r w:rsidR="00FF46A2">
        <w:t>[2]</w:t>
      </w:r>
      <w:r w:rsidR="00FF46A2">
        <w:fldChar w:fldCharType="end"/>
      </w:r>
      <w:r w:rsidR="00FF46A2">
        <w:t>.</w:t>
      </w:r>
    </w:p>
    <w:p w14:paraId="4BCA96ED" w14:textId="34072703" w:rsidR="000412AE" w:rsidRDefault="000412AE" w:rsidP="007A416E">
      <w:r>
        <w:t xml:space="preserve">It should be noted that even when the NW sends these QCL indications, the </w:t>
      </w:r>
      <w:proofErr w:type="spellStart"/>
      <w:r>
        <w:t>gNB</w:t>
      </w:r>
      <w:proofErr w:type="spellEnd"/>
      <w:r>
        <w:t xml:space="preserve"> may sometimes choose to update its </w:t>
      </w:r>
      <w:proofErr w:type="spellStart"/>
      <w:r>
        <w:t>Tx</w:t>
      </w:r>
      <w:proofErr w:type="spellEnd"/>
      <w:r>
        <w:t xml:space="preserve"> beam without informing the UE, since the NW will realize that two </w:t>
      </w:r>
      <w:proofErr w:type="spellStart"/>
      <w:r>
        <w:t>Tx</w:t>
      </w:r>
      <w:proofErr w:type="spellEnd"/>
      <w:r>
        <w:t xml:space="preserve"> beams are equivalent with respect to which Rx beam the UE uses. For instance, for a P2 procedure, the UE keeps its Rx beam constant during the whole sweep. Informing the UE that the NW has updates its </w:t>
      </w:r>
      <w:proofErr w:type="spellStart"/>
      <w:r>
        <w:t>Tx</w:t>
      </w:r>
      <w:proofErr w:type="spellEnd"/>
      <w:r>
        <w:t xml:space="preserve"> beam based on the reported CRI is useless, since the UE will not update its Rx beam anyway based on that information.</w:t>
      </w:r>
      <w:r w:rsidR="0065665F">
        <w:t xml:space="preserve"> In a similar way, the </w:t>
      </w:r>
      <w:proofErr w:type="spellStart"/>
      <w:r w:rsidR="0065665F">
        <w:t>gNB</w:t>
      </w:r>
      <w:proofErr w:type="spellEnd"/>
      <w:r w:rsidR="0065665F">
        <w:t xml:space="preserve"> may widen its </w:t>
      </w:r>
      <w:proofErr w:type="spellStart"/>
      <w:r w:rsidR="0065665F">
        <w:t>Tx</w:t>
      </w:r>
      <w:proofErr w:type="spellEnd"/>
      <w:r w:rsidR="0065665F">
        <w:t xml:space="preserve"> beam without telling the UE, since the Rx beam adjusted towards the narrow beam is often suitable also for the wider beam.</w:t>
      </w:r>
    </w:p>
    <w:p w14:paraId="6A71FF3A" w14:textId="63C9EBDE" w:rsidR="000412AE" w:rsidRDefault="000412AE" w:rsidP="007A416E">
      <w:r>
        <w:t xml:space="preserve">Since the NW has the choice to change </w:t>
      </w:r>
      <w:proofErr w:type="spellStart"/>
      <w:r>
        <w:t>Tx</w:t>
      </w:r>
      <w:proofErr w:type="spellEnd"/>
      <w:r>
        <w:t xml:space="preserve"> beams without informing the UE, the </w:t>
      </w:r>
      <w:r w:rsidR="0065665F">
        <w:t xml:space="preserve">RAN1 </w:t>
      </w:r>
      <w:r>
        <w:t>discussion on</w:t>
      </w:r>
      <w:r w:rsidR="0065665F">
        <w:t xml:space="preserve"> beam widths for PDCCH and PDSCH transmission only relates to what QCL information is conveyed to the UE. The statement in agreement #2 to “</w:t>
      </w:r>
      <w:r w:rsidR="0065665F" w:rsidRPr="003D4847">
        <w:rPr>
          <w:rFonts w:eastAsia="MS Mincho"/>
          <w:lang w:eastAsia="ja-JP"/>
        </w:rPr>
        <w:t>Support using same or different beams on control channel and the corresponding data channel</w:t>
      </w:r>
      <w:r w:rsidR="0065665F">
        <w:rPr>
          <w:rFonts w:eastAsia="MS Mincho"/>
          <w:lang w:eastAsia="ja-JP"/>
        </w:rPr>
        <w:t xml:space="preserve">” relates to the ability send QCL indications to the UE, as clarified in agreements #3 and #4. </w:t>
      </w:r>
      <w:r w:rsidR="0065665F">
        <w:t>This is important to remember in the discussion.</w:t>
      </w:r>
    </w:p>
    <w:p w14:paraId="5ADCFB7D" w14:textId="3F2FF65C" w:rsidR="0065665F" w:rsidRDefault="0065665F" w:rsidP="007A416E">
      <w:r>
        <w:t xml:space="preserve">Clearly, sending separate beam indications for the PDCCH and PDSCH to the UE increases the complexity of the solution. Obviously, the NW would have to send double indications to the UE. Since current agreements do not allow the information to be conveyed using functionality in the same layer (MAC for PDCCH, L1 for PDSCH) the complexity grows even further. </w:t>
      </w:r>
      <w:r w:rsidR="008D1CF4">
        <w:t xml:space="preserve">In addition to the double </w:t>
      </w:r>
      <w:proofErr w:type="spellStart"/>
      <w:r w:rsidR="008D1CF4">
        <w:t>signalling</w:t>
      </w:r>
      <w:proofErr w:type="spellEnd"/>
      <w:r w:rsidR="008D1CF4">
        <w:t xml:space="preserve"> in two layers, the ability to maintain different beams is of little use if the PDCCH and PDSCH beams have the same beam width. To provide any benefit, the PDCCH and PDSCH beams must be different, e.g., the PDCCH beams must be wider than the PDSCH beams. To adjust the beams, the NW would have to collect information about potential candidate beams, and if different candidate beams are relevant for PDCCH</w:t>
      </w:r>
      <w:r>
        <w:t xml:space="preserve"> </w:t>
      </w:r>
      <w:r w:rsidR="008D1CF4">
        <w:t>and PDSCH, the collection of measurement is also doubled.</w:t>
      </w:r>
    </w:p>
    <w:p w14:paraId="1F2B2B8D" w14:textId="6AE3AAFD" w:rsidR="003A0E41" w:rsidRDefault="00A531F2" w:rsidP="002611E7">
      <w:pPr>
        <w:pStyle w:val="Observation"/>
      </w:pPr>
      <w:bookmarkStart w:id="3" w:name="_Toc494707444"/>
      <w:r>
        <w:t>Maintaining and conveying independent QCL indications for PDCCH and PDSCH leads to additional complexity for the NW</w:t>
      </w:r>
      <w:bookmarkEnd w:id="3"/>
      <w:r w:rsidR="008D1CF4">
        <w:t xml:space="preserve">, both regarding </w:t>
      </w:r>
      <w:proofErr w:type="spellStart"/>
      <w:r w:rsidR="008D1CF4">
        <w:t>signalling</w:t>
      </w:r>
      <w:proofErr w:type="spellEnd"/>
      <w:r w:rsidR="008D1CF4">
        <w:t xml:space="preserve"> overhead and collection of measurement reports.</w:t>
      </w:r>
    </w:p>
    <w:p w14:paraId="3B239183" w14:textId="18A723F8" w:rsidR="00B73E25" w:rsidRDefault="00B73E25" w:rsidP="00B73E25">
      <w:r>
        <w:t xml:space="preserve">So, maintaining separate QCL indications corresponding to PDCCH and PDSCH beams leads to additional complexity. The question is then: does it lead to better performance? </w:t>
      </w:r>
      <w:r w:rsidR="00A01AFB">
        <w:t xml:space="preserve">Is the best beam for PDCCH different from the best beam for PDSCH? </w:t>
      </w:r>
    </w:p>
    <w:p w14:paraId="5F1B8DD3" w14:textId="34A408E6" w:rsidR="00A01AFB" w:rsidRDefault="00A01AFB" w:rsidP="00B73E25">
      <w:r>
        <w:t>Both for (UE-specific) PDCCH and PDSCH beamforming, the target is to achieve the best SINR at the receiver. Thus, it may seem natural that the best beam for PDCCH is the same as the best beam for PDSCH. Then, the BLER operating point for PDCCH and PDSCH is typically different: for PDCCH, we aim for that 99% of the transmissions are correct by adjusting the aggregation level, whereas for PDSCH the MCS is chosen so that 90% of the initial transmissions are correct. Still, beamforming should be applied to maximize SINR in both cases.</w:t>
      </w:r>
    </w:p>
    <w:p w14:paraId="785CDDAC" w14:textId="68D99AE5" w:rsidR="00A01AFB" w:rsidRDefault="00A01AFB" w:rsidP="00B73E25">
      <w:r>
        <w:lastRenderedPageBreak/>
        <w:t xml:space="preserve">The beams for PDCCH and PDSCH are chosen based on any data that is available at the </w:t>
      </w:r>
      <w:proofErr w:type="spellStart"/>
      <w:r>
        <w:t>gNB</w:t>
      </w:r>
      <w:proofErr w:type="spellEnd"/>
      <w:r>
        <w:t xml:space="preserve">. Both measurement reports from the UE and UL measurements may be used. </w:t>
      </w:r>
      <w:r w:rsidR="00674757">
        <w:t xml:space="preserve">The UE speed may also be taken into account. </w:t>
      </w:r>
      <w:r>
        <w:t xml:space="preserve">Based on all this data, the </w:t>
      </w:r>
      <w:proofErr w:type="spellStart"/>
      <w:r>
        <w:t>gNB</w:t>
      </w:r>
      <w:proofErr w:type="spellEnd"/>
      <w:r>
        <w:t xml:space="preserve"> makes an educated choice of the best </w:t>
      </w:r>
      <w:proofErr w:type="spellStart"/>
      <w:r>
        <w:t>Tx</w:t>
      </w:r>
      <w:proofErr w:type="spellEnd"/>
      <w:r>
        <w:t xml:space="preserve"> beam. </w:t>
      </w:r>
    </w:p>
    <w:p w14:paraId="7F183C0C" w14:textId="12679145" w:rsidR="0017459A" w:rsidRDefault="0017459A" w:rsidP="00B73E25">
      <w:r>
        <w:t xml:space="preserve">It should come as no surprise that the best beam is most often the narrowest beam, providing the highest array gain. Only for UEs moving very fast, it may be so that the measurement delay will result in an outdated beam selection. But for the realistic array sizes (&lt;1000) elements, even the narrowest beams are rather wide at reasonable distances from the TRP. </w:t>
      </w:r>
    </w:p>
    <w:p w14:paraId="4444006F" w14:textId="20B0F631" w:rsidR="007E754B" w:rsidRDefault="00AD71E9" w:rsidP="002611E7">
      <w:pPr>
        <w:pStyle w:val="Observation"/>
      </w:pPr>
      <w:bookmarkStart w:id="4" w:name="_Toc494707445"/>
      <w:r>
        <w:t>In</w:t>
      </w:r>
      <w:r w:rsidR="00EF0B95">
        <w:t xml:space="preserve"> most</w:t>
      </w:r>
      <w:r>
        <w:t xml:space="preserve"> cases, the narrower the PDCCH beam, the better the performance.</w:t>
      </w:r>
      <w:bookmarkEnd w:id="4"/>
    </w:p>
    <w:p w14:paraId="3FE17F75" w14:textId="40BB1614" w:rsidR="00EF0B95" w:rsidRDefault="00FD36FA" w:rsidP="00EF0B95">
      <w:r>
        <w:t>A</w:t>
      </w:r>
      <w:r w:rsidR="00EF0B95">
        <w:t xml:space="preserve"> wider beam</w:t>
      </w:r>
      <w:r>
        <w:t xml:space="preserve"> would provide better (“more robust”) performance only under some circumstances, which we consider almost as a corner case is shown. </w:t>
      </w:r>
      <w:r w:rsidR="00B84102">
        <w:t xml:space="preserve">Such a scenario is depicted in </w:t>
      </w:r>
      <w:r w:rsidR="00327762">
        <w:fldChar w:fldCharType="begin"/>
      </w:r>
      <w:r w:rsidR="00327762">
        <w:instrText xml:space="preserve"> REF _Ref494715562 \h </w:instrText>
      </w:r>
      <w:r w:rsidR="00327762">
        <w:fldChar w:fldCharType="separate"/>
      </w:r>
      <w:r w:rsidR="00327762">
        <w:t xml:space="preserve">Figure </w:t>
      </w:r>
      <w:r w:rsidR="00327762">
        <w:rPr>
          <w:noProof/>
        </w:rPr>
        <w:t>1</w:t>
      </w:r>
      <w:r w:rsidR="00327762">
        <w:fldChar w:fldCharType="end"/>
      </w:r>
      <w:r w:rsidR="00327762">
        <w:t>.</w:t>
      </w:r>
    </w:p>
    <w:p w14:paraId="2F0666EA" w14:textId="223C9FFD" w:rsidR="00B84102" w:rsidRDefault="00B84102" w:rsidP="00EF0B95"/>
    <w:p w14:paraId="4E188E5C" w14:textId="77777777" w:rsidR="00327762" w:rsidRDefault="00327762" w:rsidP="00327762">
      <w:pPr>
        <w:keepNext/>
      </w:pPr>
      <w:r>
        <w:rPr>
          <w:noProof/>
        </w:rPr>
        <w:drawing>
          <wp:inline distT="0" distB="0" distL="0" distR="0" wp14:anchorId="7318C4BC" wp14:editId="5F8D5FEC">
            <wp:extent cx="4572000" cy="19841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dePdcch.png"/>
                    <pic:cNvPicPr/>
                  </pic:nvPicPr>
                  <pic:blipFill>
                    <a:blip r:embed="rId8">
                      <a:extLst>
                        <a:ext uri="{28A0092B-C50C-407E-A947-70E740481C1C}">
                          <a14:useLocalDpi xmlns:a14="http://schemas.microsoft.com/office/drawing/2010/main" val="0"/>
                        </a:ext>
                      </a:extLst>
                    </a:blip>
                    <a:stretch>
                      <a:fillRect/>
                    </a:stretch>
                  </pic:blipFill>
                  <pic:spPr>
                    <a:xfrm>
                      <a:off x="0" y="0"/>
                      <a:ext cx="4576515" cy="1986090"/>
                    </a:xfrm>
                    <a:prstGeom prst="rect">
                      <a:avLst/>
                    </a:prstGeom>
                  </pic:spPr>
                </pic:pic>
              </a:graphicData>
            </a:graphic>
          </wp:inline>
        </w:drawing>
      </w:r>
    </w:p>
    <w:p w14:paraId="0AD27D3D" w14:textId="0C866016" w:rsidR="00B84102" w:rsidRDefault="00327762" w:rsidP="00327762">
      <w:pPr>
        <w:pStyle w:val="Caption"/>
        <w:jc w:val="both"/>
      </w:pPr>
      <w:bookmarkStart w:id="5" w:name="_Ref494715562"/>
      <w:r>
        <w:t xml:space="preserve">Figure </w:t>
      </w:r>
      <w:fldSimple w:instr=" SEQ Figure \* ARABIC ">
        <w:r>
          <w:rPr>
            <w:noProof/>
          </w:rPr>
          <w:t>1</w:t>
        </w:r>
      </w:fldSimple>
      <w:bookmarkEnd w:id="5"/>
      <w:r>
        <w:t xml:space="preserve">: Scenario where wide beam transmission may be preferable. Note that the beams are intended to be drawn according to scale: the wider beams lead to significantly reduced antenna gains. </w:t>
      </w:r>
    </w:p>
    <w:p w14:paraId="20E8791B" w14:textId="520B44FA" w:rsidR="00B84102" w:rsidRDefault="00327762" w:rsidP="00EF0B95">
      <w:r>
        <w:t xml:space="preserve">In this scenario in </w:t>
      </w:r>
      <w:r>
        <w:fldChar w:fldCharType="begin"/>
      </w:r>
      <w:r>
        <w:instrText xml:space="preserve"> REF _Ref494715562 \h </w:instrText>
      </w:r>
      <w:r>
        <w:fldChar w:fldCharType="separate"/>
      </w:r>
      <w:r>
        <w:t xml:space="preserve">Figure </w:t>
      </w:r>
      <w:r>
        <w:rPr>
          <w:noProof/>
        </w:rPr>
        <w:t>1</w:t>
      </w:r>
      <w:r>
        <w:fldChar w:fldCharType="end"/>
      </w:r>
      <w:r>
        <w:t>, the narrow beam is blocked by a house, preventing the transmission to reach the UE. With the wide beam to the right, the transmission relies on a reflector to reach the UE. When the wide beam in the middle is used, there is no such reflector present, and the transmission through the wide beam does not reach the UE either.</w:t>
      </w:r>
      <w:r w:rsidR="00885022">
        <w:t xml:space="preserve"> Also note that picture does not </w:t>
      </w:r>
      <w:r w:rsidR="00F2786F">
        <w:t>depict how the UE Rx beam is adjusted: even in the situation to the right, there is no guarantee that the UE Rx beam points in the correct direction.</w:t>
      </w:r>
    </w:p>
    <w:p w14:paraId="103A876C" w14:textId="4A661D5A" w:rsidR="00AD71E9" w:rsidRDefault="00AD71E9" w:rsidP="002611E7">
      <w:pPr>
        <w:pStyle w:val="Observation"/>
      </w:pPr>
      <w:bookmarkStart w:id="6" w:name="_Toc494707446"/>
      <w:bookmarkStart w:id="7" w:name="_Ref494716328"/>
      <w:r>
        <w:t>A wider PDCCH beam only provides more robust performance under very special circumstances.</w:t>
      </w:r>
      <w:bookmarkEnd w:id="6"/>
      <w:bookmarkEnd w:id="7"/>
    </w:p>
    <w:p w14:paraId="4A80F4E3" w14:textId="1E4CEDF7" w:rsidR="00FD719E" w:rsidRDefault="00FD719E" w:rsidP="00FD719E">
      <w:r>
        <w:t xml:space="preserve">Based on </w:t>
      </w:r>
      <w:r>
        <w:fldChar w:fldCharType="begin"/>
      </w:r>
      <w:r>
        <w:instrText xml:space="preserve"> REF _Ref494716328 \r \h </w:instrText>
      </w:r>
      <w:r>
        <w:fldChar w:fldCharType="separate"/>
      </w:r>
      <w:r>
        <w:t>Observation 4</w:t>
      </w:r>
      <w:r>
        <w:fldChar w:fldCharType="end"/>
      </w:r>
      <w:r>
        <w:t>, we conclude that using the same (narrow) beam for PDCCH and for PDSCH is the best choice, and the UE should base its QCL association on that assumption.</w:t>
      </w:r>
      <w:r w:rsidR="000F45C5">
        <w:t xml:space="preserve"> In the rare cases where a wider PDCCH beam would be appropriate (e.g., for high-speed train use cases), the NW may use the knowledge of the best narrow beam to generate the best wide beam. </w:t>
      </w:r>
      <w:r w:rsidR="00427DA7">
        <w:t xml:space="preserve">Since the QCL indication </w:t>
      </w:r>
      <w:proofErr w:type="spellStart"/>
      <w:r w:rsidR="00427DA7">
        <w:t>signalling</w:t>
      </w:r>
      <w:proofErr w:type="spellEnd"/>
      <w:r w:rsidR="00427DA7">
        <w:t xml:space="preserve"> for the narrow beams are indicated through DCI to the UE, we make the following key proposal:</w:t>
      </w:r>
    </w:p>
    <w:p w14:paraId="7AAF53F6" w14:textId="2B27D7E1" w:rsidR="00AD71E9" w:rsidRDefault="00AD71E9" w:rsidP="00AD71E9">
      <w:pPr>
        <w:pStyle w:val="KeyProposal"/>
        <w:ind w:left="1699" w:hanging="1699"/>
      </w:pPr>
      <w:bookmarkStart w:id="8" w:name="_Toc494556212"/>
      <w:bookmarkStart w:id="9" w:name="_Toc494557497"/>
      <w:bookmarkStart w:id="10" w:name="_Toc494572626"/>
      <w:bookmarkStart w:id="11" w:name="_Toc494572799"/>
      <w:bookmarkStart w:id="12" w:name="_Toc494622260"/>
      <w:bookmarkStart w:id="13" w:name="_Toc494622571"/>
      <w:bookmarkStart w:id="14" w:name="_Toc494707468"/>
      <w:bookmarkStart w:id="15" w:name="_Toc492554463"/>
      <w:bookmarkStart w:id="16" w:name="_Hlk494621782"/>
      <w:r>
        <w:t>NR supports a configuration whereby the UE can assume the same QCL reference for PDCCH as indicated through TCI for PDSCH. Prior to slot n, the UE receives a DCI that schedules PDSCH in slot n. The DCI contains a TCI state for the purposes of QCL indication for PDSCH. Within slot n, and in subsequent slots until the next TCI is received, the UE can assume that the DMRS of PDCCH candidates in a configured CORESET is QCL with the DL RS(s) in the RS Set of the same prior indicated TCI state</w:t>
      </w:r>
      <w:bookmarkEnd w:id="8"/>
      <w:bookmarkEnd w:id="9"/>
      <w:r>
        <w:t xml:space="preserve"> as for PDSCH.</w:t>
      </w:r>
      <w:bookmarkEnd w:id="10"/>
      <w:bookmarkEnd w:id="11"/>
      <w:bookmarkEnd w:id="12"/>
      <w:bookmarkEnd w:id="13"/>
      <w:bookmarkEnd w:id="14"/>
    </w:p>
    <w:p w14:paraId="32919CD8" w14:textId="42B6A7F0" w:rsidR="00427DA7" w:rsidRDefault="00427DA7" w:rsidP="00427DA7">
      <w:r>
        <w:t>To incorporate this into the TCI framework described by the agreements #3 and #4, the QCL indications for PDCCH and PDSCH must be tied together. This is a configuration option, so we don’t see that any fast indications are needed to turn such an association on and off. Hence, we propose</w:t>
      </w:r>
    </w:p>
    <w:p w14:paraId="3334F955" w14:textId="39A8CF03" w:rsidR="00AD71E9" w:rsidRDefault="00AD71E9" w:rsidP="00AD71E9">
      <w:pPr>
        <w:pStyle w:val="KeyProposal"/>
        <w:ind w:left="1699" w:hanging="1699"/>
      </w:pPr>
      <w:bookmarkStart w:id="17" w:name="_Toc494622261"/>
      <w:bookmarkStart w:id="18" w:name="_Toc494622572"/>
      <w:bookmarkStart w:id="19" w:name="_Toc494707469"/>
      <w:r>
        <w:t xml:space="preserve">To support a configuration whereby the UE can assume a common QCL reference for PDCCH and PDSCH, a TCI state configuration contains an information element (IE) indicating whether common QCL is “ON/OFF.” In this context, common QCL “ON” means that the UE can assume the same QCL </w:t>
      </w:r>
      <w:r>
        <w:lastRenderedPageBreak/>
        <w:t>reference for PDCCH as indicated through the TCI field in DCI for PDSCH. Common QCL “OFF” means that the UE can assume that the QCL reference for PDCCH is provided by the configured reference to a TCI state in the CORESET.</w:t>
      </w:r>
      <w:bookmarkEnd w:id="17"/>
      <w:bookmarkEnd w:id="18"/>
      <w:bookmarkEnd w:id="19"/>
    </w:p>
    <w:p w14:paraId="7AF37CFC" w14:textId="4B389003" w:rsidR="00D2453B" w:rsidRDefault="00427DA7" w:rsidP="00427DA7">
      <w:r>
        <w:t xml:space="preserve">We note that similar proposals were raised in </w:t>
      </w:r>
      <w:r>
        <w:fldChar w:fldCharType="begin"/>
      </w:r>
      <w:r>
        <w:instrText xml:space="preserve"> REF _Ref494717008 \r \h </w:instrText>
      </w:r>
      <w:r>
        <w:fldChar w:fldCharType="separate"/>
      </w:r>
      <w:r>
        <w:t>[2]</w:t>
      </w:r>
      <w:r>
        <w:fldChar w:fldCharType="end"/>
      </w:r>
      <w:r>
        <w:t>, but there was a restriction where the PDSCH beam was limited to the (wider) PDCCH beams.</w:t>
      </w:r>
      <w:r w:rsidR="00BC5A22">
        <w:t xml:space="preserve"> </w:t>
      </w:r>
      <w:r w:rsidR="00D2453B">
        <w:t>In this contribution, we have shown that a narrow PDCCH beam, which follows the PDSCH beam is more suitable in most cases, but we don’t see why the standard should preclude the usage of more static PDCCH/PDSCH beams: the final choice should be up to implementation.</w:t>
      </w:r>
    </w:p>
    <w:p w14:paraId="56327F3C" w14:textId="77777777" w:rsidR="00C01F33" w:rsidRPr="00CE0424" w:rsidRDefault="00C01F33" w:rsidP="003A0E41">
      <w:pPr>
        <w:pStyle w:val="Heading1"/>
      </w:pPr>
      <w:bookmarkStart w:id="20" w:name="_GoBack"/>
      <w:bookmarkEnd w:id="15"/>
      <w:bookmarkEnd w:id="16"/>
      <w:bookmarkEnd w:id="20"/>
      <w:r w:rsidRPr="00CE0424">
        <w:t>Conclusion</w:t>
      </w:r>
      <w:r w:rsidR="00AE2FEB">
        <w:t>s</w:t>
      </w:r>
    </w:p>
    <w:p w14:paraId="6A4817C8" w14:textId="7A90B87A" w:rsidR="002451ED" w:rsidRDefault="003A0E41" w:rsidP="008E065E">
      <w:pPr>
        <w:pStyle w:val="BodyText"/>
      </w:pPr>
      <w:r>
        <w:t>In this contribution</w:t>
      </w:r>
      <w:r w:rsidR="00F75DF1">
        <w:t>,</w:t>
      </w:r>
      <w:r>
        <w:t xml:space="preserve"> we made the following ob</w:t>
      </w:r>
      <w:r w:rsidR="004033B5">
        <w:t>s</w:t>
      </w:r>
      <w:r>
        <w:t>ervations</w:t>
      </w:r>
      <w:r w:rsidR="008E065E" w:rsidRPr="00CE0424">
        <w:t>:</w:t>
      </w:r>
    </w:p>
    <w:p w14:paraId="5D1452E4" w14:textId="60887D7F" w:rsidR="00F75DF1" w:rsidRDefault="00F75DF1">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\h \z \t "Observation;1" </w:instrText>
      </w:r>
      <w:r>
        <w:rPr>
          <w:b w:val="0"/>
          <w:bCs/>
        </w:rPr>
        <w:fldChar w:fldCharType="separate"/>
      </w:r>
      <w:hyperlink w:anchor="_Toc494707443" w:history="1">
        <w:r w:rsidRPr="00ED643E">
          <w:rPr>
            <w:rStyle w:val="Hyperlink"/>
          </w:rPr>
          <w:t>Observation 1</w:t>
        </w:r>
        <w:r>
          <w:rPr>
            <w:rFonts w:asciiTheme="minorHAnsi" w:eastAsiaTheme="minorEastAsia" w:hAnsiTheme="minorHAnsi" w:cstheme="minorBidi"/>
            <w:b w:val="0"/>
            <w:sz w:val="22"/>
            <w:lang w:eastAsia="en-US"/>
          </w:rPr>
          <w:tab/>
        </w:r>
        <w:r w:rsidRPr="00ED643E">
          <w:rPr>
            <w:rStyle w:val="Hyperlink"/>
          </w:rPr>
          <w:t>The gNB may choose to change the Tx beams of the PDCCH and PDSCH without informing the UE, i.e., to apply beam management without beam indication.</w:t>
        </w:r>
      </w:hyperlink>
    </w:p>
    <w:p w14:paraId="6FBCE884" w14:textId="059CF39B" w:rsidR="00F75DF1" w:rsidRDefault="003E2BD1">
      <w:pPr>
        <w:pStyle w:val="TOC1"/>
        <w:rPr>
          <w:rFonts w:asciiTheme="minorHAnsi" w:eastAsiaTheme="minorEastAsia" w:hAnsiTheme="minorHAnsi" w:cstheme="minorBidi"/>
          <w:b w:val="0"/>
          <w:sz w:val="22"/>
          <w:lang w:eastAsia="en-US"/>
        </w:rPr>
      </w:pPr>
      <w:hyperlink w:anchor="_Toc494707444" w:history="1">
        <w:r w:rsidR="00F75DF1" w:rsidRPr="00ED643E">
          <w:rPr>
            <w:rStyle w:val="Hyperlink"/>
          </w:rPr>
          <w:t>Observation 2</w:t>
        </w:r>
        <w:r w:rsidR="00F75DF1">
          <w:rPr>
            <w:rFonts w:asciiTheme="minorHAnsi" w:eastAsiaTheme="minorEastAsia" w:hAnsiTheme="minorHAnsi" w:cstheme="minorBidi"/>
            <w:b w:val="0"/>
            <w:sz w:val="22"/>
            <w:lang w:eastAsia="en-US"/>
          </w:rPr>
          <w:tab/>
        </w:r>
        <w:r w:rsidR="00F75DF1" w:rsidRPr="00ED643E">
          <w:rPr>
            <w:rStyle w:val="Hyperlink"/>
          </w:rPr>
          <w:t>Maintaining and conveying independent QCL indications for PDCCH and PDSCH leads to additional complexity for the NW.</w:t>
        </w:r>
      </w:hyperlink>
    </w:p>
    <w:p w14:paraId="3D30FB2D" w14:textId="60E5563E" w:rsidR="00F75DF1" w:rsidRDefault="003E2BD1">
      <w:pPr>
        <w:pStyle w:val="TOC1"/>
        <w:rPr>
          <w:rFonts w:asciiTheme="minorHAnsi" w:eastAsiaTheme="minorEastAsia" w:hAnsiTheme="minorHAnsi" w:cstheme="minorBidi"/>
          <w:b w:val="0"/>
          <w:sz w:val="22"/>
          <w:lang w:eastAsia="en-US"/>
        </w:rPr>
      </w:pPr>
      <w:hyperlink w:anchor="_Toc494707445" w:history="1">
        <w:r w:rsidR="00F75DF1" w:rsidRPr="00ED643E">
          <w:rPr>
            <w:rStyle w:val="Hyperlink"/>
          </w:rPr>
          <w:t>Observation 3</w:t>
        </w:r>
        <w:r w:rsidR="00F75DF1">
          <w:rPr>
            <w:rFonts w:asciiTheme="minorHAnsi" w:eastAsiaTheme="minorEastAsia" w:hAnsiTheme="minorHAnsi" w:cstheme="minorBidi"/>
            <w:b w:val="0"/>
            <w:sz w:val="22"/>
            <w:lang w:eastAsia="en-US"/>
          </w:rPr>
          <w:tab/>
        </w:r>
        <w:r w:rsidR="00F75DF1" w:rsidRPr="00ED643E">
          <w:rPr>
            <w:rStyle w:val="Hyperlink"/>
          </w:rPr>
          <w:t>In many cases, the narrower the PDCCH beam, the better the performance.</w:t>
        </w:r>
      </w:hyperlink>
    </w:p>
    <w:p w14:paraId="1B20C47E" w14:textId="4BAA48D5" w:rsidR="00F75DF1" w:rsidRDefault="003E2BD1">
      <w:pPr>
        <w:pStyle w:val="TOC1"/>
        <w:rPr>
          <w:rFonts w:asciiTheme="minorHAnsi" w:eastAsiaTheme="minorEastAsia" w:hAnsiTheme="minorHAnsi" w:cstheme="minorBidi"/>
          <w:b w:val="0"/>
          <w:sz w:val="22"/>
          <w:lang w:eastAsia="en-US"/>
        </w:rPr>
      </w:pPr>
      <w:hyperlink w:anchor="_Toc494707446" w:history="1">
        <w:r w:rsidR="00F75DF1" w:rsidRPr="00ED643E">
          <w:rPr>
            <w:rStyle w:val="Hyperlink"/>
          </w:rPr>
          <w:t>Observation 4</w:t>
        </w:r>
        <w:r w:rsidR="00F75DF1">
          <w:rPr>
            <w:rFonts w:asciiTheme="minorHAnsi" w:eastAsiaTheme="minorEastAsia" w:hAnsiTheme="minorHAnsi" w:cstheme="minorBidi"/>
            <w:b w:val="0"/>
            <w:sz w:val="22"/>
            <w:lang w:eastAsia="en-US"/>
          </w:rPr>
          <w:tab/>
        </w:r>
        <w:r w:rsidR="00F75DF1" w:rsidRPr="00ED643E">
          <w:rPr>
            <w:rStyle w:val="Hyperlink"/>
          </w:rPr>
          <w:t>A wider PDCCH beam only provides more robust performance under very special circumstances.</w:t>
        </w:r>
      </w:hyperlink>
    </w:p>
    <w:p w14:paraId="6AC53E94" w14:textId="2BE798DB" w:rsidR="008E065E" w:rsidRDefault="00F75DF1" w:rsidP="008E065E">
      <w:pPr>
        <w:pStyle w:val="BodyText"/>
        <w:rPr>
          <w:b/>
          <w:bCs/>
        </w:rPr>
      </w:pPr>
      <w:r>
        <w:rPr>
          <w:b/>
          <w:bCs/>
        </w:rPr>
        <w:fldChar w:fldCharType="end"/>
      </w:r>
    </w:p>
    <w:p w14:paraId="172924D6" w14:textId="77777777" w:rsidR="002611E7" w:rsidRDefault="00E5689D" w:rsidP="00E5689D">
      <w:pPr>
        <w:pStyle w:val="BodyText"/>
      </w:pPr>
      <w:r>
        <w:t xml:space="preserve">Based on the discussion </w:t>
      </w:r>
      <w:r w:rsidR="009C6832">
        <w:t>in this contri</w:t>
      </w:r>
      <w:r w:rsidR="003A0E41">
        <w:t>bution</w:t>
      </w:r>
      <w:r w:rsidR="008E065E" w:rsidRPr="00CE0424">
        <w:t xml:space="preserve"> we </w:t>
      </w:r>
      <w:r w:rsidR="002611E7">
        <w:t>make the following key proposals</w:t>
      </w:r>
      <w:r w:rsidR="008E065E" w:rsidRPr="00CE0424">
        <w:t>:</w:t>
      </w:r>
    </w:p>
    <w:p w14:paraId="4FF36E9E" w14:textId="7161112F" w:rsidR="00F75DF1" w:rsidRDefault="00F75DF1">
      <w:pPr>
        <w:pStyle w:val="TOC1"/>
        <w:rPr>
          <w:rFonts w:asciiTheme="minorHAnsi" w:eastAsiaTheme="minorEastAsia" w:hAnsiTheme="minorHAnsi" w:cstheme="minorBidi"/>
          <w:b w:val="0"/>
          <w:sz w:val="22"/>
          <w:lang w:eastAsia="en-US"/>
        </w:rPr>
      </w:pPr>
      <w:r>
        <w:rPr>
          <w:b w:val="0"/>
        </w:rPr>
        <w:fldChar w:fldCharType="begin"/>
      </w:r>
      <w:r>
        <w:rPr>
          <w:b w:val="0"/>
        </w:rPr>
        <w:instrText xml:space="preserve"> TOC \n \p " " \h \z \t "Key Proposal;1" </w:instrText>
      </w:r>
      <w:r>
        <w:rPr>
          <w:b w:val="0"/>
        </w:rPr>
        <w:fldChar w:fldCharType="separate"/>
      </w:r>
      <w:hyperlink w:anchor="_Toc494707468" w:history="1">
        <w:r w:rsidRPr="0077484F">
          <w:rPr>
            <w:rStyle w:val="Hyperlink"/>
          </w:rPr>
          <w:t>Key Proposal 1</w:t>
        </w:r>
        <w:r>
          <w:rPr>
            <w:rFonts w:asciiTheme="minorHAnsi" w:eastAsiaTheme="minorEastAsia" w:hAnsiTheme="minorHAnsi" w:cstheme="minorBidi"/>
            <w:b w:val="0"/>
            <w:sz w:val="22"/>
            <w:lang w:eastAsia="en-US"/>
          </w:rPr>
          <w:tab/>
        </w:r>
        <w:r w:rsidRPr="0077484F">
          <w:rPr>
            <w:rStyle w:val="Hyperlink"/>
          </w:rPr>
          <w:t>NR supports a configuration whereby the UE can assume the same QCL reference for PDCCH as indicated through TCI for PDSCH. Prior to slot n, the UE receives a DCI that schedules PDSCH in slot n. The DCI contains a TCI state for the purposes of QCL indication for PDSCH. Within slot n, and in subsequent slots until the next TCI is received, the UE can assume that the DMRS of PDCCH candidates in a configured CORESET is QCL with the DL RS(s) in the RS Set of the same prior indicated TCI state as for PDSCH.</w:t>
        </w:r>
      </w:hyperlink>
    </w:p>
    <w:p w14:paraId="48E77778" w14:textId="48745129" w:rsidR="00F75DF1" w:rsidRDefault="003E2BD1">
      <w:pPr>
        <w:pStyle w:val="TOC1"/>
        <w:rPr>
          <w:rFonts w:asciiTheme="minorHAnsi" w:eastAsiaTheme="minorEastAsia" w:hAnsiTheme="minorHAnsi" w:cstheme="minorBidi"/>
          <w:b w:val="0"/>
          <w:sz w:val="22"/>
          <w:lang w:eastAsia="en-US"/>
        </w:rPr>
      </w:pPr>
      <w:hyperlink w:anchor="_Toc494707469" w:history="1">
        <w:r w:rsidR="00F75DF1" w:rsidRPr="0077484F">
          <w:rPr>
            <w:rStyle w:val="Hyperlink"/>
          </w:rPr>
          <w:t>Key Proposal 2</w:t>
        </w:r>
        <w:r w:rsidR="00F75DF1">
          <w:rPr>
            <w:rFonts w:asciiTheme="minorHAnsi" w:eastAsiaTheme="minorEastAsia" w:hAnsiTheme="minorHAnsi" w:cstheme="minorBidi"/>
            <w:b w:val="0"/>
            <w:sz w:val="22"/>
            <w:lang w:eastAsia="en-US"/>
          </w:rPr>
          <w:tab/>
        </w:r>
        <w:r w:rsidR="00F75DF1" w:rsidRPr="0077484F">
          <w:rPr>
            <w:rStyle w:val="Hyperlink"/>
          </w:rPr>
          <w:t>To support a configuration whereby the UE can assume a common QCL reference for PDCCH and PDSCH, a TCI state configuration contains an information element (IE) indicating whether common QCL is “ON/OFF.” In this context, common QCL “ON” means that the UE an assume the same QCL reference for PDCCH as indicated through the TCI field in DCI for PDSCH. Common QCL “OFF” means that the UE can assume that the QCL reference for PDCCH is provided by the configured reference to a TCI state in the CORESET.</w:t>
        </w:r>
      </w:hyperlink>
    </w:p>
    <w:p w14:paraId="60B357CF" w14:textId="39AFED44" w:rsidR="00C01F33" w:rsidRPr="002B55C4" w:rsidRDefault="00F75DF1" w:rsidP="00E5689D">
      <w:pPr>
        <w:pStyle w:val="BodyText"/>
      </w:pPr>
      <w:r>
        <w:rPr>
          <w:b/>
          <w:noProof/>
          <w:szCs w:val="22"/>
        </w:rPr>
        <w:fldChar w:fldCharType="end"/>
      </w:r>
    </w:p>
    <w:p w14:paraId="5B3C850D" w14:textId="77777777" w:rsidR="00F507D1" w:rsidRPr="00CE0424" w:rsidRDefault="00F507D1" w:rsidP="00CE0424">
      <w:pPr>
        <w:pStyle w:val="Heading1"/>
      </w:pPr>
      <w:bookmarkStart w:id="21" w:name="_In-sequence_SDU_delivery"/>
      <w:bookmarkEnd w:id="21"/>
      <w:r w:rsidRPr="00CE0424">
        <w:t>References</w:t>
      </w:r>
    </w:p>
    <w:p w14:paraId="3BC9304B" w14:textId="4241C0FD" w:rsidR="003A7EF3" w:rsidRDefault="00F75DF1" w:rsidP="00F75DF1">
      <w:pPr>
        <w:pStyle w:val="Reference"/>
      </w:pPr>
      <w:bookmarkStart w:id="22" w:name="_Ref494707681"/>
      <w:r w:rsidRPr="00F9594F">
        <w:t>R1-171</w:t>
      </w:r>
      <w:r w:rsidR="00F9594F" w:rsidRPr="00F9594F">
        <w:t>8742</w:t>
      </w:r>
      <w:r w:rsidR="00220DD8" w:rsidRPr="00F9594F">
        <w:t xml:space="preserve">, </w:t>
      </w:r>
      <w:r w:rsidRPr="00F9594F">
        <w:t>Performance of beam management without beam indication</w:t>
      </w:r>
      <w:r w:rsidR="00220DD8" w:rsidRPr="00F9594F">
        <w:t xml:space="preserve">, </w:t>
      </w:r>
      <w:r w:rsidRPr="00F9594F">
        <w:t>Ericsson,</w:t>
      </w:r>
      <w:r w:rsidR="00220DD8" w:rsidRPr="00F9594F">
        <w:t xml:space="preserve"> </w:t>
      </w:r>
      <w:r w:rsidRPr="00F9594F">
        <w:t>RAN1#90b</w:t>
      </w:r>
      <w:r w:rsidR="00220DD8" w:rsidRPr="00F9594F">
        <w:t xml:space="preserve">, </w:t>
      </w:r>
      <w:r w:rsidRPr="00F9594F">
        <w:t>Prague, October 2017</w:t>
      </w:r>
      <w:bookmarkEnd w:id="22"/>
    </w:p>
    <w:p w14:paraId="6F957A75" w14:textId="7AD8E8C2" w:rsidR="00F9594F" w:rsidRPr="00F9594F" w:rsidRDefault="00F9594F" w:rsidP="00F9594F">
      <w:pPr>
        <w:pStyle w:val="Reference"/>
      </w:pPr>
      <w:bookmarkStart w:id="23" w:name="_Ref494730135"/>
      <w:r>
        <w:t xml:space="preserve">R1-1718433, </w:t>
      </w:r>
      <w:r w:rsidRPr="00F9594F">
        <w:t>On beam indication, measurement, and reporting, Ericsson, RAN1#90b, Prague, October 2017</w:t>
      </w:r>
      <w:bookmarkEnd w:id="23"/>
      <w:r>
        <w:t xml:space="preserve"> </w:t>
      </w:r>
    </w:p>
    <w:p w14:paraId="1D292A29" w14:textId="11C6B5DB" w:rsidR="00427DA7" w:rsidRPr="00427DA7" w:rsidRDefault="00427DA7" w:rsidP="00427DA7">
      <w:pPr>
        <w:pStyle w:val="Reference"/>
      </w:pPr>
      <w:bookmarkStart w:id="24" w:name="_Ref494717008"/>
      <w:r w:rsidRPr="00427DA7">
        <w:t>R1-1715940, On Beam Management, Measurement and Reporting, Samsung, RAN1 NR-AH3, Nagoya, September 2017</w:t>
      </w:r>
      <w:bookmarkEnd w:id="24"/>
    </w:p>
    <w:sectPr w:rsidR="00427DA7" w:rsidRPr="00427DA7" w:rsidSect="00C02A4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A7B236" w14:textId="77777777" w:rsidR="003E2BD1" w:rsidRDefault="003E2BD1">
      <w:r>
        <w:separator/>
      </w:r>
    </w:p>
  </w:endnote>
  <w:endnote w:type="continuationSeparator" w:id="0">
    <w:p w14:paraId="7D5B2BC2" w14:textId="77777777" w:rsidR="003E2BD1" w:rsidRDefault="003E2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C1E4A" w14:textId="77777777" w:rsidR="00E464B9" w:rsidRDefault="00E464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420A6AD4" w:rsidR="00920BF2" w:rsidRPr="00E464B9" w:rsidRDefault="00920BF2" w:rsidP="00E464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C385E" w14:textId="77777777" w:rsidR="00E464B9" w:rsidRDefault="00E464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F10BD" w14:textId="77777777" w:rsidR="003E2BD1" w:rsidRDefault="003E2BD1">
      <w:r>
        <w:separator/>
      </w:r>
    </w:p>
  </w:footnote>
  <w:footnote w:type="continuationSeparator" w:id="0">
    <w:p w14:paraId="35738700" w14:textId="77777777" w:rsidR="003E2BD1" w:rsidRDefault="003E2B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24B10E46" w:rsidR="00920BF2" w:rsidRPr="00E464B9" w:rsidRDefault="00920BF2" w:rsidP="00E464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9ABA5" w14:textId="77777777" w:rsidR="00E464B9" w:rsidRDefault="00E464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2D9E5" w14:textId="77777777" w:rsidR="00E464B9" w:rsidRDefault="00E464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7"/>
  </w:num>
  <w:num w:numId="6">
    <w:abstractNumId w:val="13"/>
  </w:num>
  <w:num w:numId="7">
    <w:abstractNumId w:val="16"/>
  </w:num>
  <w:num w:numId="8">
    <w:abstractNumId w:val="8"/>
  </w:num>
  <w:num w:numId="9">
    <w:abstractNumId w:val="6"/>
  </w:num>
  <w:num w:numId="10">
    <w:abstractNumId w:val="2"/>
  </w:num>
  <w:num w:numId="11">
    <w:abstractNumId w:val="1"/>
  </w:num>
  <w:num w:numId="12">
    <w:abstractNumId w:val="0"/>
  </w:num>
  <w:num w:numId="13">
    <w:abstractNumId w:val="15"/>
  </w:num>
  <w:num w:numId="14">
    <w:abstractNumId w:val="9"/>
  </w:num>
  <w:num w:numId="15">
    <w:abstractNumId w:val="10"/>
  </w:num>
  <w:num w:numId="16">
    <w:abstractNumId w:val="5"/>
  </w:num>
  <w:num w:numId="17">
    <w:abstractNumId w:val="4"/>
  </w:num>
  <w:num w:numId="18">
    <w:abstractNumId w:val="18"/>
  </w:num>
  <w:num w:numId="1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28F5"/>
    <w:rsid w:val="0002564D"/>
    <w:rsid w:val="00025ECA"/>
    <w:rsid w:val="00030B30"/>
    <w:rsid w:val="000325B8"/>
    <w:rsid w:val="00034C15"/>
    <w:rsid w:val="00036BA1"/>
    <w:rsid w:val="000412AE"/>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D0D07"/>
    <w:rsid w:val="000D4797"/>
    <w:rsid w:val="000E0527"/>
    <w:rsid w:val="000E1E92"/>
    <w:rsid w:val="000F06D6"/>
    <w:rsid w:val="000F0EB1"/>
    <w:rsid w:val="000F1106"/>
    <w:rsid w:val="000F3BE9"/>
    <w:rsid w:val="000F3F6C"/>
    <w:rsid w:val="000F45C5"/>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7459A"/>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55C4"/>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762"/>
    <w:rsid w:val="00327997"/>
    <w:rsid w:val="00331751"/>
    <w:rsid w:val="00331B7B"/>
    <w:rsid w:val="00334579"/>
    <w:rsid w:val="00335858"/>
    <w:rsid w:val="00336BDA"/>
    <w:rsid w:val="00342BD7"/>
    <w:rsid w:val="00346DB5"/>
    <w:rsid w:val="003477B1"/>
    <w:rsid w:val="00356A14"/>
    <w:rsid w:val="00357380"/>
    <w:rsid w:val="00357879"/>
    <w:rsid w:val="003602D9"/>
    <w:rsid w:val="003604CE"/>
    <w:rsid w:val="00370E47"/>
    <w:rsid w:val="003742AC"/>
    <w:rsid w:val="00374ADB"/>
    <w:rsid w:val="00377CE1"/>
    <w:rsid w:val="0038162F"/>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2BD1"/>
    <w:rsid w:val="003E55E4"/>
    <w:rsid w:val="003E74E3"/>
    <w:rsid w:val="003F05C7"/>
    <w:rsid w:val="003F2CD4"/>
    <w:rsid w:val="003F6BBE"/>
    <w:rsid w:val="004000E8"/>
    <w:rsid w:val="0040057D"/>
    <w:rsid w:val="00402E2B"/>
    <w:rsid w:val="004033B5"/>
    <w:rsid w:val="004050EA"/>
    <w:rsid w:val="0040512B"/>
    <w:rsid w:val="00405CA5"/>
    <w:rsid w:val="004073DD"/>
    <w:rsid w:val="00407CD3"/>
    <w:rsid w:val="00410134"/>
    <w:rsid w:val="00410B72"/>
    <w:rsid w:val="00410F18"/>
    <w:rsid w:val="0041263E"/>
    <w:rsid w:val="00413AAC"/>
    <w:rsid w:val="00413E92"/>
    <w:rsid w:val="00421105"/>
    <w:rsid w:val="004242F4"/>
    <w:rsid w:val="00427248"/>
    <w:rsid w:val="00427DA7"/>
    <w:rsid w:val="00437447"/>
    <w:rsid w:val="00441782"/>
    <w:rsid w:val="00441A92"/>
    <w:rsid w:val="00444F56"/>
    <w:rsid w:val="00446488"/>
    <w:rsid w:val="004517AA"/>
    <w:rsid w:val="00452CAC"/>
    <w:rsid w:val="00457565"/>
    <w:rsid w:val="00457B71"/>
    <w:rsid w:val="00465ABC"/>
    <w:rsid w:val="004669E2"/>
    <w:rsid w:val="00470773"/>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3B31"/>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65F"/>
    <w:rsid w:val="00656A92"/>
    <w:rsid w:val="00656DDE"/>
    <w:rsid w:val="0066011D"/>
    <w:rsid w:val="006607C0"/>
    <w:rsid w:val="006613A6"/>
    <w:rsid w:val="006627A2"/>
    <w:rsid w:val="006634E6"/>
    <w:rsid w:val="006655EE"/>
    <w:rsid w:val="00667EE7"/>
    <w:rsid w:val="00670922"/>
    <w:rsid w:val="00670BE1"/>
    <w:rsid w:val="0067218F"/>
    <w:rsid w:val="006741F2"/>
    <w:rsid w:val="00674757"/>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16E"/>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E754B"/>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5022"/>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1CF4"/>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1AFB"/>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531F2"/>
    <w:rsid w:val="00A61499"/>
    <w:rsid w:val="00A62A77"/>
    <w:rsid w:val="00A63483"/>
    <w:rsid w:val="00A652C9"/>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5A43"/>
    <w:rsid w:val="00AC7789"/>
    <w:rsid w:val="00AD0AA3"/>
    <w:rsid w:val="00AD3F94"/>
    <w:rsid w:val="00AD4A5A"/>
    <w:rsid w:val="00AD71E9"/>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3E25"/>
    <w:rsid w:val="00B75A51"/>
    <w:rsid w:val="00B81A6C"/>
    <w:rsid w:val="00B84102"/>
    <w:rsid w:val="00B85DE5"/>
    <w:rsid w:val="00B90F73"/>
    <w:rsid w:val="00B93B59"/>
    <w:rsid w:val="00B9406A"/>
    <w:rsid w:val="00BA2280"/>
    <w:rsid w:val="00BA2A08"/>
    <w:rsid w:val="00BA56D2"/>
    <w:rsid w:val="00BA76E0"/>
    <w:rsid w:val="00BB2A25"/>
    <w:rsid w:val="00BB51E9"/>
    <w:rsid w:val="00BC0FDC"/>
    <w:rsid w:val="00BC3053"/>
    <w:rsid w:val="00BC4D2E"/>
    <w:rsid w:val="00BC5A22"/>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453B"/>
    <w:rsid w:val="00D36E71"/>
    <w:rsid w:val="00D37D87"/>
    <w:rsid w:val="00D40B33"/>
    <w:rsid w:val="00D4318F"/>
    <w:rsid w:val="00D438BF"/>
    <w:rsid w:val="00D440F8"/>
    <w:rsid w:val="00D53140"/>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23B6"/>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4B9"/>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47C"/>
    <w:rsid w:val="00E94F8A"/>
    <w:rsid w:val="00E95608"/>
    <w:rsid w:val="00EA4B16"/>
    <w:rsid w:val="00EA7A41"/>
    <w:rsid w:val="00EB077B"/>
    <w:rsid w:val="00EB4EA2"/>
    <w:rsid w:val="00EC27C6"/>
    <w:rsid w:val="00EC4207"/>
    <w:rsid w:val="00EC5653"/>
    <w:rsid w:val="00EC71CE"/>
    <w:rsid w:val="00EC77A7"/>
    <w:rsid w:val="00ED1006"/>
    <w:rsid w:val="00EE59C8"/>
    <w:rsid w:val="00EF0B95"/>
    <w:rsid w:val="00EF18FE"/>
    <w:rsid w:val="00EF5787"/>
    <w:rsid w:val="00EF60D0"/>
    <w:rsid w:val="00F0528D"/>
    <w:rsid w:val="00F06C67"/>
    <w:rsid w:val="00F06DFD"/>
    <w:rsid w:val="00F071D1"/>
    <w:rsid w:val="00F07533"/>
    <w:rsid w:val="00F10629"/>
    <w:rsid w:val="00F15FA5"/>
    <w:rsid w:val="00F209B7"/>
    <w:rsid w:val="00F2376F"/>
    <w:rsid w:val="00F243D8"/>
    <w:rsid w:val="00F2786F"/>
    <w:rsid w:val="00F30828"/>
    <w:rsid w:val="00F313D6"/>
    <w:rsid w:val="00F40F0C"/>
    <w:rsid w:val="00F4766C"/>
    <w:rsid w:val="00F5060E"/>
    <w:rsid w:val="00F507D1"/>
    <w:rsid w:val="00F519CE"/>
    <w:rsid w:val="00F51ADA"/>
    <w:rsid w:val="00F5523E"/>
    <w:rsid w:val="00F607C5"/>
    <w:rsid w:val="00F60DEA"/>
    <w:rsid w:val="00F6302A"/>
    <w:rsid w:val="00F64C2B"/>
    <w:rsid w:val="00F651BE"/>
    <w:rsid w:val="00F67F53"/>
    <w:rsid w:val="00F703BE"/>
    <w:rsid w:val="00F71F69"/>
    <w:rsid w:val="00F72B72"/>
    <w:rsid w:val="00F74BB9"/>
    <w:rsid w:val="00F75582"/>
    <w:rsid w:val="00F75DF1"/>
    <w:rsid w:val="00F76EFA"/>
    <w:rsid w:val="00F804BE"/>
    <w:rsid w:val="00F817CE"/>
    <w:rsid w:val="00F8456C"/>
    <w:rsid w:val="00F859D8"/>
    <w:rsid w:val="00F868F5"/>
    <w:rsid w:val="00F9056A"/>
    <w:rsid w:val="00F90F8D"/>
    <w:rsid w:val="00F92782"/>
    <w:rsid w:val="00F93AA9"/>
    <w:rsid w:val="00F9594F"/>
    <w:rsid w:val="00F96985"/>
    <w:rsid w:val="00F97838"/>
    <w:rsid w:val="00FA2BB3"/>
    <w:rsid w:val="00FB4C80"/>
    <w:rsid w:val="00FB6A6A"/>
    <w:rsid w:val="00FC7429"/>
    <w:rsid w:val="00FD07F6"/>
    <w:rsid w:val="00FD1EC8"/>
    <w:rsid w:val="00FD36FA"/>
    <w:rsid w:val="00FD47ED"/>
    <w:rsid w:val="00FD719E"/>
    <w:rsid w:val="00FD74DB"/>
    <w:rsid w:val="00FD7660"/>
    <w:rsid w:val="00FE0655"/>
    <w:rsid w:val="00FE2365"/>
    <w:rsid w:val="00FE37D7"/>
    <w:rsid w:val="00FE4C7B"/>
    <w:rsid w:val="00FE7336"/>
    <w:rsid w:val="00FE787C"/>
    <w:rsid w:val="00FF45A5"/>
    <w:rsid w:val="00FF46A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F46A2"/>
    <w:rPr>
      <w:rFonts w:eastAsiaTheme="minorHAnsi"/>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FF46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46A2"/>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rsid w:val="00CD0D9B"/>
    <w:pPr>
      <w:keepNext/>
      <w:keepLines/>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D1B53-2E79-43AC-8AA6-FE065C08A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1644</Words>
  <Characters>9372</Characters>
  <Application>Microsoft Office Word</Application>
  <DocSecurity>0</DocSecurity>
  <Lines>78</Lines>
  <Paragraphs>21</Paragraphs>
  <ScaleCrop>false</ScaleCrop>
  <Company/>
  <LinksUpToDate>false</LinksUpToDate>
  <CharactersWithSpaces>10995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2017-10-02T15:10:00Z</dcterms:created>
  <dcterms:modified xsi:type="dcterms:W3CDTF">2017-10-03T00:53:00Z</dcterms:modified>
</cp:coreProperties>
</file>